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CD" w:rsidRPr="00FA789E" w:rsidRDefault="009379CD" w:rsidP="004F1CAD">
      <w:pPr>
        <w:autoSpaceDE w:val="0"/>
        <w:autoSpaceDN w:val="0"/>
        <w:adjustRightInd w:val="0"/>
        <w:spacing w:before="11"/>
        <w:ind w:right="-20"/>
        <w:jc w:val="center"/>
        <w:rPr>
          <w:b/>
          <w:bCs/>
          <w:kern w:val="2"/>
          <w:sz w:val="32"/>
          <w:szCs w:val="32"/>
        </w:rPr>
      </w:pPr>
      <w:r w:rsidRPr="00FA789E">
        <w:rPr>
          <w:b/>
          <w:bCs/>
          <w:kern w:val="2"/>
          <w:sz w:val="32"/>
          <w:szCs w:val="32"/>
        </w:rPr>
        <w:t>Sliding Fee Discount Program:</w:t>
      </w:r>
      <w:r w:rsidR="00557202" w:rsidRPr="00FA789E">
        <w:rPr>
          <w:b/>
          <w:bCs/>
          <w:kern w:val="2"/>
          <w:sz w:val="32"/>
          <w:szCs w:val="32"/>
        </w:rPr>
        <w:t xml:space="preserve"> </w:t>
      </w:r>
      <w:r w:rsidRPr="00FA789E">
        <w:rPr>
          <w:b/>
          <w:bCs/>
          <w:kern w:val="2"/>
          <w:sz w:val="32"/>
          <w:szCs w:val="32"/>
        </w:rPr>
        <w:t>Sample Policy</w:t>
      </w:r>
      <w:r w:rsidR="0080246D" w:rsidRPr="00FA789E">
        <w:rPr>
          <w:b/>
          <w:bCs/>
          <w:kern w:val="2"/>
          <w:sz w:val="32"/>
          <w:szCs w:val="32"/>
        </w:rPr>
        <w:t xml:space="preserve"> and Procedure</w:t>
      </w:r>
      <w:r w:rsidRPr="00FA789E">
        <w:rPr>
          <w:rStyle w:val="FootnoteReference"/>
          <w:b/>
          <w:bCs/>
          <w:kern w:val="2"/>
        </w:rPr>
        <w:footnoteReference w:id="1"/>
      </w:r>
    </w:p>
    <w:p w:rsidR="009379CD" w:rsidRPr="00FA789E" w:rsidRDefault="009379CD" w:rsidP="004F1CAD">
      <w:pPr>
        <w:pBdr>
          <w:bottom w:val="single" w:sz="12" w:space="1" w:color="auto"/>
        </w:pBdr>
        <w:autoSpaceDE w:val="0"/>
        <w:autoSpaceDN w:val="0"/>
        <w:adjustRightInd w:val="0"/>
        <w:jc w:val="both"/>
        <w:rPr>
          <w:kern w:val="2"/>
        </w:rPr>
      </w:pPr>
    </w:p>
    <w:p w:rsidR="00300EC8" w:rsidRPr="00FA789E" w:rsidRDefault="00300EC8" w:rsidP="004F1CA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p>
    <w:p w:rsidR="00081BE5" w:rsidRPr="00FA789E" w:rsidRDefault="00081BE5"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kern w:val="2"/>
        </w:rPr>
      </w:pPr>
      <w:r w:rsidRPr="00FA789E">
        <w:rPr>
          <w:b/>
          <w:kern w:val="2"/>
        </w:rPr>
        <w:t>Policy</w:t>
      </w:r>
      <w:r w:rsidR="00B65C05" w:rsidRPr="00FA789E">
        <w:rPr>
          <w:b/>
          <w:kern w:val="2"/>
        </w:rPr>
        <w:t>.</w:t>
      </w:r>
    </w:p>
    <w:p w:rsidR="00300EC8" w:rsidRPr="00FA789E" w:rsidRDefault="00300EC8"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kern w:val="2"/>
        </w:rPr>
      </w:pPr>
    </w:p>
    <w:p w:rsidR="001022ED" w:rsidRPr="00FA789E" w:rsidRDefault="00081BE5" w:rsidP="0030058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r w:rsidRPr="00FA789E">
        <w:rPr>
          <w:bCs/>
          <w:kern w:val="2"/>
        </w:rPr>
        <w:t xml:space="preserve">It is the policy of </w:t>
      </w:r>
      <w:r w:rsidR="002406B7" w:rsidRPr="00FA789E">
        <w:rPr>
          <w:bCs/>
          <w:i/>
          <w:kern w:val="2"/>
        </w:rPr>
        <w:t xml:space="preserve">[Health Center Name] </w:t>
      </w:r>
      <w:r w:rsidR="002406B7" w:rsidRPr="00FA789E">
        <w:rPr>
          <w:bCs/>
          <w:kern w:val="2"/>
        </w:rPr>
        <w:t>(“</w:t>
      </w:r>
      <w:r w:rsidRPr="00FA789E">
        <w:rPr>
          <w:bCs/>
          <w:kern w:val="2"/>
        </w:rPr>
        <w:t>Health Center</w:t>
      </w:r>
      <w:r w:rsidR="002406B7" w:rsidRPr="00FA789E">
        <w:rPr>
          <w:bCs/>
          <w:kern w:val="2"/>
        </w:rPr>
        <w:t>”)</w:t>
      </w:r>
      <w:r w:rsidRPr="00FA789E">
        <w:rPr>
          <w:bCs/>
          <w:kern w:val="2"/>
        </w:rPr>
        <w:t xml:space="preserve">, based on the requirements set forth in Section 330(k)(3)(G) of the </w:t>
      </w:r>
      <w:r w:rsidR="0055569D" w:rsidRPr="00FA789E">
        <w:rPr>
          <w:bCs/>
          <w:kern w:val="2"/>
        </w:rPr>
        <w:t>Public Health Service</w:t>
      </w:r>
      <w:r w:rsidRPr="00FA789E">
        <w:rPr>
          <w:bCs/>
          <w:kern w:val="2"/>
        </w:rPr>
        <w:t xml:space="preserve"> Act</w:t>
      </w:r>
      <w:r w:rsidR="00145E00" w:rsidRPr="00FA789E">
        <w:rPr>
          <w:bCs/>
          <w:kern w:val="2"/>
        </w:rPr>
        <w:t>,</w:t>
      </w:r>
      <w:r w:rsidRPr="00FA789E">
        <w:rPr>
          <w:bCs/>
          <w:kern w:val="2"/>
        </w:rPr>
        <w:t xml:space="preserve"> 42 C.F.R. § 51c.303(f)</w:t>
      </w:r>
      <w:r w:rsidR="00145E00" w:rsidRPr="00FA789E">
        <w:rPr>
          <w:bCs/>
          <w:kern w:val="2"/>
        </w:rPr>
        <w:t xml:space="preserve"> and applicable Health Resources and Services Administration policy</w:t>
      </w:r>
      <w:r w:rsidRPr="00FA789E">
        <w:rPr>
          <w:bCs/>
          <w:kern w:val="2"/>
        </w:rPr>
        <w:t xml:space="preserve">, to </w:t>
      </w:r>
      <w:r w:rsidRPr="00FA789E">
        <w:rPr>
          <w:kern w:val="2"/>
        </w:rPr>
        <w:t xml:space="preserve">establish </w:t>
      </w:r>
      <w:r w:rsidR="00B8248C" w:rsidRPr="00FA789E">
        <w:rPr>
          <w:kern w:val="2"/>
        </w:rPr>
        <w:t xml:space="preserve">a schedule of fees for services, a corresponding schedule of discounts for eligible patients that is adjusted based on the patient’s ability to pay, and </w:t>
      </w:r>
      <w:r w:rsidR="005507B8" w:rsidRPr="00FA789E">
        <w:rPr>
          <w:kern w:val="2"/>
        </w:rPr>
        <w:t xml:space="preserve">supporting </w:t>
      </w:r>
      <w:r w:rsidR="00B8248C" w:rsidRPr="00FA789E">
        <w:rPr>
          <w:kern w:val="2"/>
        </w:rPr>
        <w:t xml:space="preserve">operating procedures, including those </w:t>
      </w:r>
      <w:r w:rsidR="00145E00" w:rsidRPr="00FA789E">
        <w:rPr>
          <w:kern w:val="2"/>
        </w:rPr>
        <w:t>pertaining to</w:t>
      </w:r>
      <w:r w:rsidR="00557202" w:rsidRPr="00FA789E">
        <w:rPr>
          <w:kern w:val="2"/>
        </w:rPr>
        <w:t xml:space="preserve"> billing and collections. </w:t>
      </w:r>
    </w:p>
    <w:p w:rsidR="001022ED" w:rsidRPr="00FA789E" w:rsidRDefault="001022ED"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p>
    <w:p w:rsidR="00081BE5" w:rsidRPr="00FA789E" w:rsidRDefault="00081BE5"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r w:rsidRPr="00FA789E">
        <w:rPr>
          <w:bCs/>
          <w:kern w:val="2"/>
        </w:rPr>
        <w:t xml:space="preserve">This </w:t>
      </w:r>
      <w:r w:rsidR="000C2337" w:rsidRPr="00FA789E">
        <w:rPr>
          <w:bCs/>
          <w:kern w:val="2"/>
        </w:rPr>
        <w:t xml:space="preserve">sliding fee discount program is designed to assure that </w:t>
      </w:r>
      <w:r w:rsidR="005507B8" w:rsidRPr="00FA789E">
        <w:rPr>
          <w:bCs/>
          <w:kern w:val="2"/>
        </w:rPr>
        <w:t>H</w:t>
      </w:r>
      <w:r w:rsidR="000C2337" w:rsidRPr="00FA789E">
        <w:rPr>
          <w:bCs/>
          <w:kern w:val="2"/>
        </w:rPr>
        <w:t xml:space="preserve">ealth </w:t>
      </w:r>
      <w:r w:rsidR="005507B8" w:rsidRPr="00FA789E">
        <w:rPr>
          <w:bCs/>
          <w:kern w:val="2"/>
        </w:rPr>
        <w:t>C</w:t>
      </w:r>
      <w:r w:rsidR="000C2337" w:rsidRPr="00FA789E">
        <w:rPr>
          <w:bCs/>
          <w:kern w:val="2"/>
        </w:rPr>
        <w:t>enter</w:t>
      </w:r>
      <w:r w:rsidR="005507B8" w:rsidRPr="00FA789E">
        <w:rPr>
          <w:bCs/>
          <w:kern w:val="2"/>
        </w:rPr>
        <w:t>’s</w:t>
      </w:r>
      <w:r w:rsidR="000C2337" w:rsidRPr="00FA789E">
        <w:rPr>
          <w:bCs/>
          <w:kern w:val="2"/>
        </w:rPr>
        <w:t xml:space="preserve"> patients have access to all services in </w:t>
      </w:r>
      <w:r w:rsidR="005507B8" w:rsidRPr="00FA789E">
        <w:rPr>
          <w:bCs/>
          <w:kern w:val="2"/>
        </w:rPr>
        <w:t>H</w:t>
      </w:r>
      <w:r w:rsidR="000C2337" w:rsidRPr="00FA789E">
        <w:rPr>
          <w:bCs/>
          <w:kern w:val="2"/>
        </w:rPr>
        <w:t xml:space="preserve">ealth </w:t>
      </w:r>
      <w:r w:rsidR="005507B8" w:rsidRPr="00FA789E">
        <w:rPr>
          <w:bCs/>
          <w:kern w:val="2"/>
        </w:rPr>
        <w:t>C</w:t>
      </w:r>
      <w:r w:rsidR="000C2337" w:rsidRPr="00FA789E">
        <w:rPr>
          <w:bCs/>
          <w:kern w:val="2"/>
        </w:rPr>
        <w:t xml:space="preserve">enter’s scope of project, regardless of their ability to pay, while allowing </w:t>
      </w:r>
      <w:r w:rsidR="00A521B8" w:rsidRPr="00FA789E">
        <w:rPr>
          <w:bCs/>
          <w:kern w:val="2"/>
        </w:rPr>
        <w:t>H</w:t>
      </w:r>
      <w:r w:rsidR="000C2337" w:rsidRPr="00FA789E">
        <w:rPr>
          <w:bCs/>
          <w:kern w:val="2"/>
        </w:rPr>
        <w:t xml:space="preserve">ealth </w:t>
      </w:r>
      <w:r w:rsidR="00A521B8" w:rsidRPr="00FA789E">
        <w:rPr>
          <w:bCs/>
          <w:kern w:val="2"/>
        </w:rPr>
        <w:t>C</w:t>
      </w:r>
      <w:r w:rsidR="000C2337" w:rsidRPr="00FA789E">
        <w:rPr>
          <w:bCs/>
          <w:kern w:val="2"/>
        </w:rPr>
        <w:t>enter to maximize revenue sources</w:t>
      </w:r>
      <w:r w:rsidR="006F1FF4" w:rsidRPr="00FA789E">
        <w:rPr>
          <w:bCs/>
          <w:kern w:val="2"/>
        </w:rPr>
        <w:t>.</w:t>
      </w:r>
      <w:r w:rsidR="00C85CB0" w:rsidRPr="00FA789E">
        <w:rPr>
          <w:bCs/>
          <w:kern w:val="2"/>
        </w:rPr>
        <w:t xml:space="preserve"> </w:t>
      </w:r>
      <w:r w:rsidR="00505366" w:rsidRPr="00FA789E">
        <w:rPr>
          <w:bCs/>
          <w:kern w:val="2"/>
        </w:rPr>
        <w:t>The sliding fee discount program will apply to all services provided within Health Center’s feder</w:t>
      </w:r>
      <w:r w:rsidR="00557202" w:rsidRPr="00FA789E">
        <w:rPr>
          <w:bCs/>
          <w:kern w:val="2"/>
        </w:rPr>
        <w:t>ally approved scope of project</w:t>
      </w:r>
      <w:r w:rsidR="0084156E" w:rsidRPr="00FA789E">
        <w:rPr>
          <w:bCs/>
          <w:kern w:val="2"/>
        </w:rPr>
        <w:t xml:space="preserve"> for which there is an established charge, regardless of service type or mode of delivery</w:t>
      </w:r>
      <w:r w:rsidR="00557202" w:rsidRPr="00FA789E">
        <w:rPr>
          <w:bCs/>
          <w:kern w:val="2"/>
        </w:rPr>
        <w:t>.</w:t>
      </w:r>
    </w:p>
    <w:p w:rsidR="00081BE5" w:rsidRPr="00FA789E" w:rsidRDefault="00081BE5"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p>
    <w:p w:rsidR="00081BE5" w:rsidRPr="00FA789E" w:rsidRDefault="00E25CE5"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kern w:val="2"/>
        </w:rPr>
      </w:pPr>
      <w:r w:rsidRPr="00FA789E">
        <w:rPr>
          <w:bCs/>
          <w:kern w:val="2"/>
        </w:rPr>
        <w:t>I</w:t>
      </w:r>
      <w:r w:rsidR="00081BE5" w:rsidRPr="00FA789E">
        <w:rPr>
          <w:bCs/>
          <w:kern w:val="2"/>
        </w:rPr>
        <w:t xml:space="preserve">t is the policy of Health Center </w:t>
      </w:r>
      <w:r w:rsidR="00081BE5" w:rsidRPr="00FA789E">
        <w:rPr>
          <w:kern w:val="2"/>
        </w:rPr>
        <w:t>that no patient will be denied health services due to an individual’s inabi</w:t>
      </w:r>
      <w:r w:rsidR="00557202" w:rsidRPr="00FA789E">
        <w:rPr>
          <w:kern w:val="2"/>
        </w:rPr>
        <w:t xml:space="preserve">lity to pay for such services. </w:t>
      </w:r>
    </w:p>
    <w:p w:rsidR="00300EC8" w:rsidRPr="00FA789E" w:rsidRDefault="00300EC8"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kern w:val="2"/>
        </w:rPr>
      </w:pPr>
    </w:p>
    <w:p w:rsidR="00B4072B" w:rsidRPr="00FA789E" w:rsidRDefault="00DE6E52" w:rsidP="004F1C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kern w:val="2"/>
        </w:rPr>
      </w:pPr>
      <w:r w:rsidRPr="00FA789E">
        <w:rPr>
          <w:kern w:val="2"/>
          <w:sz w:val="23"/>
          <w:szCs w:val="23"/>
        </w:rPr>
        <w:t xml:space="preserve">Day-to-day direction and management responsibility for implementing the sliding fee discount program rests with </w:t>
      </w:r>
      <w:r w:rsidR="00933315" w:rsidRPr="00FA789E">
        <w:rPr>
          <w:bCs/>
          <w:kern w:val="2"/>
        </w:rPr>
        <w:t>Health Center</w:t>
      </w:r>
      <w:r w:rsidR="00933315" w:rsidRPr="00FA789E">
        <w:rPr>
          <w:kern w:val="2"/>
          <w:sz w:val="23"/>
          <w:szCs w:val="23"/>
        </w:rPr>
        <w:t xml:space="preserve"> </w:t>
      </w:r>
      <w:r w:rsidRPr="00FA789E">
        <w:rPr>
          <w:kern w:val="2"/>
          <w:sz w:val="23"/>
          <w:szCs w:val="23"/>
        </w:rPr>
        <w:t>staff under the direction of the Chief Executive Officer</w:t>
      </w:r>
      <w:r w:rsidR="00D31C42" w:rsidRPr="00FA789E">
        <w:rPr>
          <w:kern w:val="2"/>
          <w:sz w:val="23"/>
          <w:szCs w:val="23"/>
        </w:rPr>
        <w:t xml:space="preserve"> (CEO)</w:t>
      </w:r>
      <w:r w:rsidRPr="00FA789E">
        <w:rPr>
          <w:kern w:val="2"/>
          <w:sz w:val="23"/>
          <w:szCs w:val="23"/>
        </w:rPr>
        <w:t xml:space="preserve">. </w:t>
      </w:r>
      <w:r w:rsidR="00933315" w:rsidRPr="00FA789E">
        <w:rPr>
          <w:kern w:val="2"/>
          <w:sz w:val="23"/>
          <w:szCs w:val="23"/>
        </w:rPr>
        <w:t>The Board of Directors will</w:t>
      </w:r>
      <w:r w:rsidRPr="00FA789E">
        <w:rPr>
          <w:kern w:val="2"/>
          <w:sz w:val="23"/>
          <w:szCs w:val="23"/>
        </w:rPr>
        <w:t xml:space="preserve"> </w:t>
      </w:r>
      <w:r w:rsidR="00422FAF" w:rsidRPr="00FA789E">
        <w:rPr>
          <w:kern w:val="2"/>
          <w:sz w:val="23"/>
          <w:szCs w:val="23"/>
        </w:rPr>
        <w:t>at least annually review</w:t>
      </w:r>
      <w:r w:rsidRPr="00FA789E">
        <w:rPr>
          <w:kern w:val="2"/>
          <w:sz w:val="23"/>
          <w:szCs w:val="23"/>
        </w:rPr>
        <w:t xml:space="preserve"> </w:t>
      </w:r>
      <w:r w:rsidR="00933315" w:rsidRPr="00FA789E">
        <w:rPr>
          <w:kern w:val="2"/>
          <w:sz w:val="23"/>
          <w:szCs w:val="23"/>
        </w:rPr>
        <w:t xml:space="preserve">this </w:t>
      </w:r>
      <w:r w:rsidR="00281803" w:rsidRPr="00FA789E">
        <w:rPr>
          <w:kern w:val="2"/>
          <w:sz w:val="23"/>
          <w:szCs w:val="23"/>
        </w:rPr>
        <w:t>p</w:t>
      </w:r>
      <w:r w:rsidR="00933315" w:rsidRPr="00FA789E">
        <w:rPr>
          <w:kern w:val="2"/>
          <w:sz w:val="23"/>
          <w:szCs w:val="23"/>
        </w:rPr>
        <w:t xml:space="preserve">olicy, as well as all other </w:t>
      </w:r>
      <w:r w:rsidR="00093564" w:rsidRPr="00FA789E">
        <w:rPr>
          <w:kern w:val="2"/>
          <w:sz w:val="23"/>
          <w:szCs w:val="23"/>
        </w:rPr>
        <w:t xml:space="preserve">policies and </w:t>
      </w:r>
      <w:r w:rsidRPr="00FA789E">
        <w:rPr>
          <w:kern w:val="2"/>
          <w:sz w:val="23"/>
          <w:szCs w:val="23"/>
        </w:rPr>
        <w:t>operating procedure</w:t>
      </w:r>
      <w:r w:rsidR="00933315" w:rsidRPr="00FA789E">
        <w:rPr>
          <w:kern w:val="2"/>
          <w:sz w:val="23"/>
          <w:szCs w:val="23"/>
        </w:rPr>
        <w:t xml:space="preserve">s applicable to the </w:t>
      </w:r>
      <w:r w:rsidR="00933315" w:rsidRPr="00FA789E">
        <w:rPr>
          <w:bCs/>
          <w:kern w:val="2"/>
        </w:rPr>
        <w:t xml:space="preserve">sliding fee discount program, </w:t>
      </w:r>
      <w:r w:rsidR="00422FAF" w:rsidRPr="00FA789E">
        <w:rPr>
          <w:kern w:val="2"/>
          <w:sz w:val="23"/>
          <w:szCs w:val="23"/>
        </w:rPr>
        <w:t xml:space="preserve">to </w:t>
      </w:r>
      <w:r w:rsidRPr="00FA789E">
        <w:rPr>
          <w:kern w:val="2"/>
          <w:sz w:val="23"/>
          <w:szCs w:val="23"/>
        </w:rPr>
        <w:t xml:space="preserve">assess their effectiveness in reducing barriers to care and their appropriateness for the </w:t>
      </w:r>
      <w:r w:rsidR="00D31C42" w:rsidRPr="00FA789E">
        <w:rPr>
          <w:bCs/>
          <w:kern w:val="2"/>
        </w:rPr>
        <w:t>Health Center</w:t>
      </w:r>
      <w:r w:rsidR="00D31C42" w:rsidRPr="00FA789E">
        <w:rPr>
          <w:kern w:val="2"/>
          <w:sz w:val="23"/>
          <w:szCs w:val="23"/>
        </w:rPr>
        <w:t xml:space="preserve"> </w:t>
      </w:r>
      <w:r w:rsidRPr="00FA789E">
        <w:rPr>
          <w:kern w:val="2"/>
          <w:sz w:val="23"/>
          <w:szCs w:val="23"/>
        </w:rPr>
        <w:t xml:space="preserve">and its community. This review includes, as appropriate, taking follow-up action to update </w:t>
      </w:r>
      <w:r w:rsidR="00093564" w:rsidRPr="00FA789E">
        <w:rPr>
          <w:kern w:val="2"/>
          <w:sz w:val="23"/>
          <w:szCs w:val="23"/>
        </w:rPr>
        <w:t>such policies and/or</w:t>
      </w:r>
      <w:r w:rsidRPr="00FA789E">
        <w:rPr>
          <w:kern w:val="2"/>
          <w:sz w:val="23"/>
          <w:szCs w:val="23"/>
        </w:rPr>
        <w:t xml:space="preserve"> operating procedures. In addition, </w:t>
      </w:r>
      <w:r w:rsidR="00D31C42" w:rsidRPr="00FA789E">
        <w:rPr>
          <w:bCs/>
          <w:kern w:val="2"/>
        </w:rPr>
        <w:t>Health Center</w:t>
      </w:r>
      <w:r w:rsidR="00D31C42" w:rsidRPr="00FA789E">
        <w:rPr>
          <w:kern w:val="2"/>
          <w:sz w:val="23"/>
          <w:szCs w:val="23"/>
        </w:rPr>
        <w:t xml:space="preserve"> will </w:t>
      </w:r>
      <w:r w:rsidRPr="00FA789E">
        <w:rPr>
          <w:kern w:val="2"/>
          <w:sz w:val="23"/>
          <w:szCs w:val="23"/>
        </w:rPr>
        <w:t xml:space="preserve">routinely provide for staff training on implementation of </w:t>
      </w:r>
      <w:r w:rsidR="00D31C42" w:rsidRPr="00FA789E">
        <w:rPr>
          <w:kern w:val="2"/>
          <w:sz w:val="23"/>
          <w:szCs w:val="23"/>
        </w:rPr>
        <w:t xml:space="preserve">this </w:t>
      </w:r>
      <w:r w:rsidR="00281803" w:rsidRPr="00FA789E">
        <w:rPr>
          <w:kern w:val="2"/>
          <w:sz w:val="23"/>
          <w:szCs w:val="23"/>
        </w:rPr>
        <w:t>p</w:t>
      </w:r>
      <w:r w:rsidR="00AF00AB" w:rsidRPr="00FA789E">
        <w:rPr>
          <w:kern w:val="2"/>
          <w:sz w:val="23"/>
          <w:szCs w:val="23"/>
        </w:rPr>
        <w:t xml:space="preserve">olicy, as well as all other policies and operating procedures applicable to the </w:t>
      </w:r>
      <w:r w:rsidR="00AF00AB" w:rsidRPr="00FA789E">
        <w:rPr>
          <w:bCs/>
          <w:kern w:val="2"/>
        </w:rPr>
        <w:t>sliding fee discount program</w:t>
      </w:r>
      <w:r w:rsidRPr="00FA789E">
        <w:rPr>
          <w:kern w:val="2"/>
          <w:sz w:val="23"/>
          <w:szCs w:val="23"/>
        </w:rPr>
        <w:t xml:space="preserve">. </w:t>
      </w:r>
    </w:p>
    <w:p w:rsidR="00DD045F" w:rsidRPr="00FA789E" w:rsidRDefault="00DD045F" w:rsidP="004F1CAD">
      <w:pPr>
        <w:jc w:val="both"/>
        <w:rPr>
          <w:b/>
          <w:bCs/>
          <w:kern w:val="2"/>
        </w:rPr>
      </w:pPr>
    </w:p>
    <w:p w:rsidR="00443D6B" w:rsidRPr="00FA789E" w:rsidRDefault="00443D6B" w:rsidP="004F1CAD">
      <w:pPr>
        <w:jc w:val="both"/>
        <w:rPr>
          <w:bCs/>
          <w:i/>
          <w:kern w:val="2"/>
          <w:szCs w:val="22"/>
        </w:rPr>
      </w:pPr>
      <w:r w:rsidRPr="00FA789E">
        <w:rPr>
          <w:b/>
          <w:bCs/>
          <w:kern w:val="2"/>
        </w:rPr>
        <w:t>Procedure</w:t>
      </w:r>
      <w:r w:rsidR="00B65C05" w:rsidRPr="00FA789E">
        <w:rPr>
          <w:b/>
          <w:bCs/>
          <w:kern w:val="2"/>
        </w:rPr>
        <w:t>.</w:t>
      </w:r>
      <w:r w:rsidR="005229D8" w:rsidRPr="00FA789E">
        <w:rPr>
          <w:rStyle w:val="FootnoteReference"/>
          <w:b/>
          <w:bCs/>
          <w:kern w:val="2"/>
        </w:rPr>
        <w:footnoteReference w:id="2"/>
      </w:r>
      <w:r w:rsidR="009E2330" w:rsidRPr="00FA789E">
        <w:rPr>
          <w:bCs/>
          <w:kern w:val="2"/>
        </w:rPr>
        <w:t xml:space="preserve"> </w:t>
      </w:r>
    </w:p>
    <w:p w:rsidR="00300EC8" w:rsidRPr="00FA789E" w:rsidRDefault="00300EC8" w:rsidP="004F1CAD">
      <w:pPr>
        <w:ind w:left="1440" w:hanging="1440"/>
        <w:jc w:val="both"/>
        <w:rPr>
          <w:kern w:val="2"/>
          <w:u w:val="single"/>
        </w:rPr>
      </w:pPr>
    </w:p>
    <w:p w:rsidR="002B048B" w:rsidRPr="00FA789E" w:rsidRDefault="00443D6B" w:rsidP="0030058A">
      <w:pPr>
        <w:tabs>
          <w:tab w:val="left" w:pos="360"/>
        </w:tabs>
        <w:jc w:val="both"/>
        <w:rPr>
          <w:kern w:val="2"/>
        </w:rPr>
      </w:pPr>
      <w:r w:rsidRPr="00FA789E">
        <w:rPr>
          <w:b/>
          <w:kern w:val="2"/>
        </w:rPr>
        <w:t>1.</w:t>
      </w:r>
      <w:r w:rsidR="0030058A" w:rsidRPr="00FA789E">
        <w:rPr>
          <w:b/>
          <w:kern w:val="2"/>
        </w:rPr>
        <w:tab/>
      </w:r>
      <w:r w:rsidR="00EF4F8E" w:rsidRPr="00FA789E">
        <w:rPr>
          <w:b/>
          <w:kern w:val="2"/>
        </w:rPr>
        <w:t xml:space="preserve">Establishing the </w:t>
      </w:r>
      <w:r w:rsidR="0080246D" w:rsidRPr="00FA789E">
        <w:rPr>
          <w:b/>
          <w:kern w:val="2"/>
        </w:rPr>
        <w:t>s</w:t>
      </w:r>
      <w:r w:rsidR="00FA2558" w:rsidRPr="00FA789E">
        <w:rPr>
          <w:b/>
          <w:kern w:val="2"/>
        </w:rPr>
        <w:t xml:space="preserve">chedule of </w:t>
      </w:r>
      <w:r w:rsidR="0080246D" w:rsidRPr="00FA789E">
        <w:rPr>
          <w:b/>
          <w:kern w:val="2"/>
        </w:rPr>
        <w:t>f</w:t>
      </w:r>
      <w:r w:rsidR="00EF4F8E" w:rsidRPr="00FA789E">
        <w:rPr>
          <w:b/>
          <w:kern w:val="2"/>
        </w:rPr>
        <w:t>ee</w:t>
      </w:r>
      <w:r w:rsidR="00FA2558" w:rsidRPr="00FA789E">
        <w:rPr>
          <w:b/>
          <w:kern w:val="2"/>
        </w:rPr>
        <w:t>s</w:t>
      </w:r>
      <w:r w:rsidR="00EF4F8E" w:rsidRPr="00FA789E">
        <w:rPr>
          <w:b/>
          <w:kern w:val="2"/>
        </w:rPr>
        <w:t>.</w:t>
      </w:r>
      <w:r w:rsidR="00EF4F8E" w:rsidRPr="00FA789E">
        <w:rPr>
          <w:kern w:val="2"/>
        </w:rPr>
        <w:t xml:space="preserve"> </w:t>
      </w:r>
      <w:r w:rsidR="00733187" w:rsidRPr="00FA789E">
        <w:rPr>
          <w:kern w:val="2"/>
        </w:rPr>
        <w:t xml:space="preserve">Health </w:t>
      </w:r>
      <w:r w:rsidR="00183C4F" w:rsidRPr="00FA789E">
        <w:rPr>
          <w:kern w:val="2"/>
        </w:rPr>
        <w:t>C</w:t>
      </w:r>
      <w:r w:rsidR="00733187" w:rsidRPr="00FA789E">
        <w:rPr>
          <w:kern w:val="2"/>
        </w:rPr>
        <w:t xml:space="preserve">enter will </w:t>
      </w:r>
      <w:r w:rsidR="00180CF0" w:rsidRPr="00FA789E">
        <w:rPr>
          <w:kern w:val="2"/>
        </w:rPr>
        <w:t>maintain</w:t>
      </w:r>
      <w:r w:rsidR="00733187" w:rsidRPr="00FA789E">
        <w:rPr>
          <w:kern w:val="2"/>
        </w:rPr>
        <w:t xml:space="preserve"> a </w:t>
      </w:r>
      <w:r w:rsidR="00180CF0" w:rsidRPr="00FA789E">
        <w:rPr>
          <w:kern w:val="2"/>
        </w:rPr>
        <w:t xml:space="preserve">Board-approved </w:t>
      </w:r>
      <w:r w:rsidR="00733187" w:rsidRPr="00FA789E">
        <w:rPr>
          <w:kern w:val="2"/>
        </w:rPr>
        <w:t xml:space="preserve">schedule of fees </w:t>
      </w:r>
      <w:r w:rsidR="0018717B" w:rsidRPr="00FA789E">
        <w:rPr>
          <w:kern w:val="2"/>
        </w:rPr>
        <w:t>for the</w:t>
      </w:r>
      <w:r w:rsidR="00183C4F" w:rsidRPr="00FA789E">
        <w:rPr>
          <w:kern w:val="2"/>
        </w:rPr>
        <w:t xml:space="preserve"> provision of services</w:t>
      </w:r>
      <w:r w:rsidR="00180CF0" w:rsidRPr="00FA789E">
        <w:rPr>
          <w:kern w:val="2"/>
        </w:rPr>
        <w:t>. The schedule of fees will be used as the basis for see</w:t>
      </w:r>
      <w:r w:rsidR="006D0EAE" w:rsidRPr="00FA789E">
        <w:rPr>
          <w:kern w:val="2"/>
        </w:rPr>
        <w:t>k</w:t>
      </w:r>
      <w:r w:rsidR="00180CF0" w:rsidRPr="00FA789E">
        <w:rPr>
          <w:kern w:val="2"/>
        </w:rPr>
        <w:t xml:space="preserve">ing payment from patients as well as third party </w:t>
      </w:r>
      <w:proofErr w:type="spellStart"/>
      <w:r w:rsidR="00180CF0" w:rsidRPr="00FA789E">
        <w:rPr>
          <w:kern w:val="2"/>
        </w:rPr>
        <w:t>payors</w:t>
      </w:r>
      <w:proofErr w:type="spellEnd"/>
      <w:r w:rsidR="00180CF0" w:rsidRPr="00FA789E">
        <w:rPr>
          <w:kern w:val="2"/>
        </w:rPr>
        <w:t xml:space="preserve">. The schedule of fees </w:t>
      </w:r>
      <w:r w:rsidR="006D0EAE" w:rsidRPr="00FA789E">
        <w:rPr>
          <w:kern w:val="2"/>
        </w:rPr>
        <w:t>will</w:t>
      </w:r>
      <w:r w:rsidR="00180CF0" w:rsidRPr="00FA789E">
        <w:rPr>
          <w:kern w:val="2"/>
        </w:rPr>
        <w:t xml:space="preserve"> be </w:t>
      </w:r>
      <w:r w:rsidR="00183C4F" w:rsidRPr="00FA789E">
        <w:rPr>
          <w:kern w:val="2"/>
        </w:rPr>
        <w:t>(</w:t>
      </w:r>
      <w:proofErr w:type="spellStart"/>
      <w:r w:rsidR="00183C4F" w:rsidRPr="00FA789E">
        <w:rPr>
          <w:kern w:val="2"/>
        </w:rPr>
        <w:t>i</w:t>
      </w:r>
      <w:proofErr w:type="spellEnd"/>
      <w:r w:rsidR="0018717B" w:rsidRPr="00FA789E">
        <w:rPr>
          <w:kern w:val="2"/>
        </w:rPr>
        <w:t xml:space="preserve">) designed to </w:t>
      </w:r>
      <w:r w:rsidR="0018717B" w:rsidRPr="00FA789E">
        <w:rPr>
          <w:kern w:val="2"/>
        </w:rPr>
        <w:lastRenderedPageBreak/>
        <w:t>cover reasonable costs of providing services included in the approved scope of project, and (</w:t>
      </w:r>
      <w:r w:rsidR="00183C4F" w:rsidRPr="00FA789E">
        <w:rPr>
          <w:kern w:val="2"/>
        </w:rPr>
        <w:t>ii</w:t>
      </w:r>
      <w:r w:rsidR="0018717B" w:rsidRPr="00FA789E">
        <w:rPr>
          <w:kern w:val="2"/>
        </w:rPr>
        <w:t>) consistent with locally prevailing rates</w:t>
      </w:r>
      <w:r w:rsidR="006D0EAE" w:rsidRPr="00FA789E">
        <w:rPr>
          <w:kern w:val="2"/>
        </w:rPr>
        <w:t xml:space="preserve"> or charges</w:t>
      </w:r>
      <w:r w:rsidR="00557202" w:rsidRPr="00FA789E">
        <w:rPr>
          <w:kern w:val="2"/>
        </w:rPr>
        <w:t>.</w:t>
      </w:r>
    </w:p>
    <w:p w:rsidR="002B048B" w:rsidRPr="00FA789E" w:rsidRDefault="002B048B" w:rsidP="004F1CAD">
      <w:pPr>
        <w:jc w:val="both"/>
        <w:rPr>
          <w:kern w:val="2"/>
        </w:rPr>
      </w:pPr>
    </w:p>
    <w:p w:rsidR="00EF4F8E" w:rsidRPr="00FA789E" w:rsidRDefault="00EF4F8E" w:rsidP="004F1CAD">
      <w:pPr>
        <w:jc w:val="both"/>
        <w:rPr>
          <w:kern w:val="2"/>
        </w:rPr>
      </w:pPr>
      <w:r w:rsidRPr="00FA789E">
        <w:rPr>
          <w:kern w:val="2"/>
        </w:rPr>
        <w:t>To assure that fees are set to cover reasonable costs and are consistent with locally prevailing rates o</w:t>
      </w:r>
      <w:r w:rsidR="006D0EAE" w:rsidRPr="00FA789E">
        <w:rPr>
          <w:kern w:val="2"/>
        </w:rPr>
        <w:t>r</w:t>
      </w:r>
      <w:r w:rsidRPr="00FA789E">
        <w:rPr>
          <w:kern w:val="2"/>
        </w:rPr>
        <w:t xml:space="preserve"> charges for the services, </w:t>
      </w:r>
      <w:r w:rsidR="008A2E55" w:rsidRPr="00FA789E">
        <w:rPr>
          <w:kern w:val="2"/>
        </w:rPr>
        <w:t xml:space="preserve">Health Center </w:t>
      </w:r>
      <w:r w:rsidRPr="00FA789E">
        <w:rPr>
          <w:kern w:val="2"/>
        </w:rPr>
        <w:t xml:space="preserve">establishes its schedule </w:t>
      </w:r>
      <w:r w:rsidR="00FA2558" w:rsidRPr="00FA789E">
        <w:rPr>
          <w:kern w:val="2"/>
        </w:rPr>
        <w:t xml:space="preserve">of fees </w:t>
      </w:r>
      <w:r w:rsidRPr="00FA789E">
        <w:rPr>
          <w:kern w:val="2"/>
        </w:rPr>
        <w:t>through the following process:</w:t>
      </w:r>
    </w:p>
    <w:p w:rsidR="00EF4F8E" w:rsidRPr="00FA789E" w:rsidRDefault="00EF4F8E" w:rsidP="004F1CAD">
      <w:pPr>
        <w:tabs>
          <w:tab w:val="left" w:pos="1080"/>
        </w:tabs>
        <w:ind w:left="1080" w:hanging="360"/>
        <w:jc w:val="both"/>
        <w:rPr>
          <w:kern w:val="2"/>
        </w:rPr>
      </w:pPr>
    </w:p>
    <w:p w:rsidR="00EF4F8E" w:rsidRPr="00FA789E" w:rsidRDefault="00EF4F8E" w:rsidP="004F1CAD">
      <w:pPr>
        <w:numPr>
          <w:ilvl w:val="0"/>
          <w:numId w:val="35"/>
        </w:numPr>
        <w:tabs>
          <w:tab w:val="left" w:pos="1080"/>
        </w:tabs>
        <w:jc w:val="both"/>
        <w:rPr>
          <w:kern w:val="2"/>
        </w:rPr>
      </w:pPr>
      <w:r w:rsidRPr="00FA789E">
        <w:rPr>
          <w:kern w:val="2"/>
        </w:rPr>
        <w:t>Services.</w:t>
      </w:r>
      <w:r w:rsidR="00C85CB0" w:rsidRPr="00FA789E">
        <w:rPr>
          <w:kern w:val="2"/>
        </w:rPr>
        <w:t xml:space="preserve"> </w:t>
      </w:r>
      <w:r w:rsidR="00FF2281" w:rsidRPr="00FA789E">
        <w:rPr>
          <w:kern w:val="2"/>
        </w:rPr>
        <w:t xml:space="preserve">Health </w:t>
      </w:r>
      <w:r w:rsidR="00183C4F" w:rsidRPr="00FA789E">
        <w:rPr>
          <w:kern w:val="2"/>
        </w:rPr>
        <w:t xml:space="preserve">Center </w:t>
      </w:r>
      <w:r w:rsidRPr="00FA789E">
        <w:rPr>
          <w:kern w:val="2"/>
        </w:rPr>
        <w:t>determines the schedule of health center services that will have distinct fees.</w:t>
      </w:r>
      <w:r w:rsidR="00FF2281" w:rsidRPr="00FA789E">
        <w:rPr>
          <w:kern w:val="2"/>
        </w:rPr>
        <w:t xml:space="preserve"> For example, the fee for a</w:t>
      </w:r>
      <w:r w:rsidR="00183C4F" w:rsidRPr="00FA789E">
        <w:rPr>
          <w:kern w:val="2"/>
        </w:rPr>
        <w:t xml:space="preserve"> behavioral health visit may differ </w:t>
      </w:r>
      <w:r w:rsidR="00C008A3" w:rsidRPr="00FA789E">
        <w:rPr>
          <w:kern w:val="2"/>
        </w:rPr>
        <w:t>from</w:t>
      </w:r>
      <w:r w:rsidR="00183C4F" w:rsidRPr="00FA789E">
        <w:rPr>
          <w:kern w:val="2"/>
        </w:rPr>
        <w:t xml:space="preserve"> the fee for a dental visit. </w:t>
      </w:r>
    </w:p>
    <w:p w:rsidR="00EF4F8E" w:rsidRPr="00FA789E" w:rsidRDefault="00EF4F8E" w:rsidP="004F1CAD">
      <w:pPr>
        <w:numPr>
          <w:ilvl w:val="0"/>
          <w:numId w:val="35"/>
        </w:numPr>
        <w:tabs>
          <w:tab w:val="left" w:pos="1080"/>
        </w:tabs>
        <w:jc w:val="both"/>
        <w:rPr>
          <w:kern w:val="2"/>
        </w:rPr>
      </w:pPr>
      <w:r w:rsidRPr="00FA789E">
        <w:rPr>
          <w:kern w:val="2"/>
        </w:rPr>
        <w:t xml:space="preserve">Reasonable costs. </w:t>
      </w:r>
      <w:r w:rsidR="00FF2281" w:rsidRPr="00FA789E">
        <w:rPr>
          <w:kern w:val="2"/>
        </w:rPr>
        <w:t xml:space="preserve">Health </w:t>
      </w:r>
      <w:r w:rsidR="00183C4F" w:rsidRPr="00FA789E">
        <w:rPr>
          <w:kern w:val="2"/>
        </w:rPr>
        <w:t xml:space="preserve">Center </w:t>
      </w:r>
      <w:r w:rsidRPr="00FA789E">
        <w:rPr>
          <w:kern w:val="2"/>
        </w:rPr>
        <w:t xml:space="preserve">determines the actual costs for providing </w:t>
      </w:r>
      <w:r w:rsidR="008A2E55" w:rsidRPr="00FA789E">
        <w:rPr>
          <w:kern w:val="2"/>
        </w:rPr>
        <w:t>the services for which there will be a distinct fee</w:t>
      </w:r>
      <w:r w:rsidR="00557202" w:rsidRPr="00FA789E">
        <w:rPr>
          <w:kern w:val="2"/>
        </w:rPr>
        <w:t>.</w:t>
      </w:r>
    </w:p>
    <w:p w:rsidR="00EF4F8E" w:rsidRPr="00FA789E" w:rsidRDefault="00EF4F8E" w:rsidP="004F1CAD">
      <w:pPr>
        <w:numPr>
          <w:ilvl w:val="0"/>
          <w:numId w:val="35"/>
        </w:numPr>
        <w:tabs>
          <w:tab w:val="left" w:pos="1080"/>
        </w:tabs>
        <w:jc w:val="both"/>
        <w:rPr>
          <w:kern w:val="2"/>
        </w:rPr>
      </w:pPr>
      <w:r w:rsidRPr="00FA789E">
        <w:rPr>
          <w:kern w:val="2"/>
        </w:rPr>
        <w:t xml:space="preserve">Locally prevailing </w:t>
      </w:r>
      <w:r w:rsidR="008A2E55" w:rsidRPr="00FA789E">
        <w:rPr>
          <w:kern w:val="2"/>
        </w:rPr>
        <w:t xml:space="preserve">rates or </w:t>
      </w:r>
      <w:r w:rsidRPr="00FA789E">
        <w:rPr>
          <w:kern w:val="2"/>
        </w:rPr>
        <w:t xml:space="preserve">charges. </w:t>
      </w:r>
      <w:r w:rsidR="00FF2281" w:rsidRPr="00FA789E">
        <w:rPr>
          <w:kern w:val="2"/>
        </w:rPr>
        <w:t xml:space="preserve">Health </w:t>
      </w:r>
      <w:r w:rsidR="00183C4F" w:rsidRPr="00FA789E">
        <w:rPr>
          <w:kern w:val="2"/>
        </w:rPr>
        <w:t xml:space="preserve">Center </w:t>
      </w:r>
      <w:r w:rsidR="00811AD9" w:rsidRPr="00FA789E">
        <w:rPr>
          <w:kern w:val="2"/>
        </w:rPr>
        <w:t xml:space="preserve">researches, reviews and determines charges used by other </w:t>
      </w:r>
      <w:r w:rsidR="008A2E55" w:rsidRPr="00FA789E">
        <w:rPr>
          <w:kern w:val="2"/>
        </w:rPr>
        <w:t>health</w:t>
      </w:r>
      <w:r w:rsidR="00811AD9" w:rsidRPr="00FA789E">
        <w:rPr>
          <w:kern w:val="2"/>
        </w:rPr>
        <w:t xml:space="preserve"> </w:t>
      </w:r>
      <w:r w:rsidR="008A2E55" w:rsidRPr="00FA789E">
        <w:rPr>
          <w:kern w:val="2"/>
        </w:rPr>
        <w:t>care</w:t>
      </w:r>
      <w:r w:rsidR="00811AD9" w:rsidRPr="00FA789E">
        <w:rPr>
          <w:kern w:val="2"/>
        </w:rPr>
        <w:t xml:space="preserve"> providers in the community for the same or similar services.</w:t>
      </w:r>
    </w:p>
    <w:p w:rsidR="00EF4F8E" w:rsidRPr="00FA789E" w:rsidRDefault="00EF4F8E" w:rsidP="004F1CAD">
      <w:pPr>
        <w:tabs>
          <w:tab w:val="left" w:pos="1080"/>
        </w:tabs>
        <w:ind w:left="1080" w:hanging="360"/>
        <w:jc w:val="both"/>
        <w:rPr>
          <w:b/>
          <w:kern w:val="2"/>
        </w:rPr>
      </w:pPr>
    </w:p>
    <w:p w:rsidR="00FF2281" w:rsidRPr="00FA789E" w:rsidRDefault="00F67EFB" w:rsidP="004F1CAD">
      <w:pPr>
        <w:jc w:val="both"/>
        <w:rPr>
          <w:kern w:val="2"/>
        </w:rPr>
      </w:pPr>
      <w:r w:rsidRPr="00FA789E">
        <w:rPr>
          <w:kern w:val="2"/>
        </w:rPr>
        <w:t xml:space="preserve">Health Center will adjust </w:t>
      </w:r>
      <w:r w:rsidR="00FA2558" w:rsidRPr="00FA789E">
        <w:rPr>
          <w:kern w:val="2"/>
        </w:rPr>
        <w:t xml:space="preserve">the schedule of </w:t>
      </w:r>
      <w:r w:rsidRPr="00FA789E">
        <w:rPr>
          <w:kern w:val="2"/>
        </w:rPr>
        <w:t xml:space="preserve">fees, as appropriate, based on regular costs analyses and changes in the local market. </w:t>
      </w:r>
      <w:r w:rsidR="00FF2281" w:rsidRPr="00FA789E">
        <w:rPr>
          <w:kern w:val="2"/>
        </w:rPr>
        <w:t xml:space="preserve">All </w:t>
      </w:r>
      <w:r w:rsidR="008854BE" w:rsidRPr="00FA789E">
        <w:rPr>
          <w:kern w:val="2"/>
        </w:rPr>
        <w:t xml:space="preserve">adjustments </w:t>
      </w:r>
      <w:r w:rsidR="00FF2281" w:rsidRPr="00FA789E">
        <w:rPr>
          <w:kern w:val="2"/>
        </w:rPr>
        <w:t>to the schedule</w:t>
      </w:r>
      <w:r w:rsidR="004159EA" w:rsidRPr="00FA789E">
        <w:rPr>
          <w:kern w:val="2"/>
        </w:rPr>
        <w:t xml:space="preserve"> of fees</w:t>
      </w:r>
      <w:r w:rsidR="00FF2281" w:rsidRPr="00FA789E">
        <w:rPr>
          <w:kern w:val="2"/>
        </w:rPr>
        <w:t xml:space="preserve"> must be approved by </w:t>
      </w:r>
      <w:r w:rsidR="00183C4F" w:rsidRPr="00FA789E">
        <w:rPr>
          <w:kern w:val="2"/>
        </w:rPr>
        <w:t>Health Center</w:t>
      </w:r>
      <w:r w:rsidR="00FF2281" w:rsidRPr="00FA789E">
        <w:rPr>
          <w:kern w:val="2"/>
        </w:rPr>
        <w:t xml:space="preserve">’s </w:t>
      </w:r>
      <w:r w:rsidR="00183C4F" w:rsidRPr="00FA789E">
        <w:rPr>
          <w:kern w:val="2"/>
        </w:rPr>
        <w:t>Board of Directors</w:t>
      </w:r>
      <w:r w:rsidR="00FF2281" w:rsidRPr="00FA789E">
        <w:rPr>
          <w:kern w:val="2"/>
        </w:rPr>
        <w:t xml:space="preserve">. </w:t>
      </w:r>
    </w:p>
    <w:p w:rsidR="00EF4F8E" w:rsidRPr="00FA789E" w:rsidRDefault="00EF4F8E" w:rsidP="004F1CAD">
      <w:pPr>
        <w:jc w:val="both"/>
        <w:rPr>
          <w:kern w:val="2"/>
        </w:rPr>
      </w:pPr>
    </w:p>
    <w:p w:rsidR="008A168B" w:rsidRPr="00FA789E" w:rsidRDefault="00EF4F8E" w:rsidP="0030058A">
      <w:pPr>
        <w:tabs>
          <w:tab w:val="left" w:pos="360"/>
        </w:tabs>
        <w:jc w:val="both"/>
        <w:rPr>
          <w:kern w:val="2"/>
        </w:rPr>
      </w:pPr>
      <w:r w:rsidRPr="00FA789E">
        <w:rPr>
          <w:b/>
          <w:kern w:val="2"/>
        </w:rPr>
        <w:t>2.</w:t>
      </w:r>
      <w:r w:rsidR="0030058A" w:rsidRPr="00FA789E">
        <w:rPr>
          <w:b/>
          <w:kern w:val="2"/>
        </w:rPr>
        <w:tab/>
      </w:r>
      <w:r w:rsidR="00443D6B" w:rsidRPr="00FA789E">
        <w:rPr>
          <w:b/>
          <w:kern w:val="2"/>
        </w:rPr>
        <w:t xml:space="preserve">Establishing </w:t>
      </w:r>
      <w:r w:rsidR="0080246D" w:rsidRPr="00FA789E">
        <w:rPr>
          <w:b/>
          <w:kern w:val="2"/>
        </w:rPr>
        <w:t>the sliding f</w:t>
      </w:r>
      <w:r w:rsidR="004159EA" w:rsidRPr="00FA789E">
        <w:rPr>
          <w:b/>
          <w:kern w:val="2"/>
        </w:rPr>
        <w:t xml:space="preserve">ee </w:t>
      </w:r>
      <w:r w:rsidR="0080246D" w:rsidRPr="00FA789E">
        <w:rPr>
          <w:b/>
          <w:kern w:val="2"/>
        </w:rPr>
        <w:t>d</w:t>
      </w:r>
      <w:r w:rsidR="00A926BF" w:rsidRPr="00FA789E">
        <w:rPr>
          <w:b/>
          <w:kern w:val="2"/>
        </w:rPr>
        <w:t>iscount</w:t>
      </w:r>
      <w:r w:rsidR="0080246D" w:rsidRPr="00FA789E">
        <w:rPr>
          <w:b/>
          <w:kern w:val="2"/>
        </w:rPr>
        <w:t xml:space="preserve"> s</w:t>
      </w:r>
      <w:r w:rsidR="004159EA" w:rsidRPr="00FA789E">
        <w:rPr>
          <w:b/>
          <w:kern w:val="2"/>
        </w:rPr>
        <w:t>chedule</w:t>
      </w:r>
      <w:r w:rsidR="00443D6B" w:rsidRPr="00FA789E">
        <w:rPr>
          <w:b/>
          <w:kern w:val="2"/>
        </w:rPr>
        <w:t>.</w:t>
      </w:r>
      <w:r w:rsidR="00443D6B" w:rsidRPr="00FA789E">
        <w:rPr>
          <w:kern w:val="2"/>
        </w:rPr>
        <w:t xml:space="preserve"> Health Center will</w:t>
      </w:r>
      <w:r w:rsidR="00180CF0" w:rsidRPr="00FA789E">
        <w:rPr>
          <w:kern w:val="2"/>
        </w:rPr>
        <w:t xml:space="preserve"> </w:t>
      </w:r>
      <w:r w:rsidR="00693D5F" w:rsidRPr="00FA789E">
        <w:rPr>
          <w:kern w:val="2"/>
        </w:rPr>
        <w:t xml:space="preserve">establish and </w:t>
      </w:r>
      <w:r w:rsidR="00180CF0" w:rsidRPr="00FA789E">
        <w:rPr>
          <w:kern w:val="2"/>
        </w:rPr>
        <w:t>maintain</w:t>
      </w:r>
      <w:r w:rsidR="00443D6B" w:rsidRPr="00FA789E">
        <w:rPr>
          <w:kern w:val="2"/>
        </w:rPr>
        <w:t xml:space="preserve"> a sliding fee </w:t>
      </w:r>
      <w:r w:rsidR="00C40018" w:rsidRPr="00FA789E">
        <w:rPr>
          <w:kern w:val="2"/>
        </w:rPr>
        <w:t xml:space="preserve">discount </w:t>
      </w:r>
      <w:r w:rsidR="00443D6B" w:rsidRPr="00FA789E">
        <w:rPr>
          <w:kern w:val="2"/>
        </w:rPr>
        <w:t>schedule</w:t>
      </w:r>
      <w:r w:rsidR="007F64FA" w:rsidRPr="00FA789E">
        <w:rPr>
          <w:kern w:val="2"/>
        </w:rPr>
        <w:t xml:space="preserve"> </w:t>
      </w:r>
      <w:r w:rsidR="008A168B" w:rsidRPr="00FA789E">
        <w:rPr>
          <w:kern w:val="2"/>
        </w:rPr>
        <w:t>that adjusts the amounts owed for services by “eligible p</w:t>
      </w:r>
      <w:r w:rsidR="00A7556E" w:rsidRPr="00FA789E">
        <w:rPr>
          <w:kern w:val="2"/>
        </w:rPr>
        <w:t xml:space="preserve">atients,” as </w:t>
      </w:r>
      <w:r w:rsidR="002153CF" w:rsidRPr="00FA789E">
        <w:rPr>
          <w:kern w:val="2"/>
        </w:rPr>
        <w:t xml:space="preserve">set forth </w:t>
      </w:r>
      <w:r w:rsidR="00A7556E" w:rsidRPr="00FA789E">
        <w:rPr>
          <w:kern w:val="2"/>
        </w:rPr>
        <w:t xml:space="preserve">below in </w:t>
      </w:r>
      <w:r w:rsidR="002153CF" w:rsidRPr="00FA789E">
        <w:rPr>
          <w:kern w:val="2"/>
        </w:rPr>
        <w:t xml:space="preserve">section </w:t>
      </w:r>
      <w:r w:rsidR="00A7556E" w:rsidRPr="00FA789E">
        <w:rPr>
          <w:kern w:val="2"/>
        </w:rPr>
        <w:t>5</w:t>
      </w:r>
      <w:r w:rsidR="00C40018" w:rsidRPr="00FA789E">
        <w:rPr>
          <w:kern w:val="2"/>
        </w:rPr>
        <w:t>.</w:t>
      </w:r>
      <w:r w:rsidR="008A168B" w:rsidRPr="00FA789E">
        <w:rPr>
          <w:kern w:val="2"/>
        </w:rPr>
        <w:t xml:space="preserve"> Key features of the </w:t>
      </w:r>
      <w:r w:rsidR="003D6E6A" w:rsidRPr="00FA789E">
        <w:rPr>
          <w:kern w:val="2"/>
        </w:rPr>
        <w:t>sliding fee discount schedule</w:t>
      </w:r>
      <w:r w:rsidR="008A168B" w:rsidRPr="00FA789E">
        <w:rPr>
          <w:kern w:val="2"/>
        </w:rPr>
        <w:t xml:space="preserve"> include the following:</w:t>
      </w:r>
      <w:r w:rsidR="00C40018" w:rsidRPr="00FA789E">
        <w:rPr>
          <w:kern w:val="2"/>
        </w:rPr>
        <w:t xml:space="preserve"> </w:t>
      </w:r>
    </w:p>
    <w:p w:rsidR="008A168B" w:rsidRPr="00FA789E" w:rsidRDefault="008A168B" w:rsidP="004F1CAD">
      <w:pPr>
        <w:jc w:val="both"/>
        <w:rPr>
          <w:kern w:val="2"/>
        </w:rPr>
      </w:pPr>
    </w:p>
    <w:p w:rsidR="00EA71F7" w:rsidRPr="00FA789E" w:rsidRDefault="008651D5" w:rsidP="004F1CAD">
      <w:pPr>
        <w:numPr>
          <w:ilvl w:val="0"/>
          <w:numId w:val="37"/>
        </w:numPr>
        <w:jc w:val="both"/>
        <w:rPr>
          <w:kern w:val="2"/>
        </w:rPr>
      </w:pPr>
      <w:r w:rsidRPr="00FA789E">
        <w:rPr>
          <w:kern w:val="2"/>
        </w:rPr>
        <w:t xml:space="preserve">Health Center will </w:t>
      </w:r>
      <w:r w:rsidR="007C6316" w:rsidRPr="00FA789E">
        <w:rPr>
          <w:kern w:val="2"/>
        </w:rPr>
        <w:t xml:space="preserve">provide a full discount or charge, at most, a </w:t>
      </w:r>
      <w:r w:rsidR="000115F2" w:rsidRPr="00FA789E">
        <w:rPr>
          <w:kern w:val="2"/>
        </w:rPr>
        <w:t xml:space="preserve">fixed fee </w:t>
      </w:r>
      <w:r w:rsidR="007C6316" w:rsidRPr="00FA789E">
        <w:rPr>
          <w:kern w:val="2"/>
        </w:rPr>
        <w:t xml:space="preserve">nominal </w:t>
      </w:r>
      <w:r w:rsidR="000115F2" w:rsidRPr="00FA789E">
        <w:rPr>
          <w:kern w:val="2"/>
        </w:rPr>
        <w:t>c</w:t>
      </w:r>
      <w:r w:rsidR="00E30DB8" w:rsidRPr="00FA789E">
        <w:rPr>
          <w:kern w:val="2"/>
        </w:rPr>
        <w:t>harge</w:t>
      </w:r>
      <w:r w:rsidR="007C6316" w:rsidRPr="00FA789E">
        <w:rPr>
          <w:kern w:val="2"/>
        </w:rPr>
        <w:t xml:space="preserve"> for individuals</w:t>
      </w:r>
      <w:r w:rsidR="00385733" w:rsidRPr="00FA789E">
        <w:rPr>
          <w:kern w:val="2"/>
        </w:rPr>
        <w:t xml:space="preserve"> and </w:t>
      </w:r>
      <w:r w:rsidR="005A744C" w:rsidRPr="00FA789E">
        <w:rPr>
          <w:kern w:val="2"/>
        </w:rPr>
        <w:t>families</w:t>
      </w:r>
      <w:r w:rsidR="00385733" w:rsidRPr="00FA789E">
        <w:rPr>
          <w:kern w:val="2"/>
        </w:rPr>
        <w:t xml:space="preserve"> with annual incomes at or below 100% of the Federal Poverty Guidelines.</w:t>
      </w:r>
      <w:r w:rsidR="00894D4D" w:rsidRPr="00FA789E">
        <w:rPr>
          <w:kern w:val="2"/>
        </w:rPr>
        <w:t xml:space="preserve"> </w:t>
      </w:r>
    </w:p>
    <w:p w:rsidR="00EA71F7" w:rsidRPr="00FA789E" w:rsidRDefault="00EA71F7" w:rsidP="00132A64">
      <w:pPr>
        <w:ind w:left="1080"/>
        <w:jc w:val="both"/>
        <w:rPr>
          <w:kern w:val="2"/>
        </w:rPr>
      </w:pPr>
    </w:p>
    <w:p w:rsidR="002C360D" w:rsidRDefault="002C360D" w:rsidP="002C360D">
      <w:pPr>
        <w:ind w:left="1080"/>
        <w:jc w:val="both"/>
        <w:rPr>
          <w:kern w:val="2"/>
        </w:rPr>
      </w:pPr>
      <w:r>
        <w:rPr>
          <w:kern w:val="2"/>
        </w:rPr>
        <w:t xml:space="preserve">The </w:t>
      </w:r>
      <w:r w:rsidRPr="00FA789E">
        <w:rPr>
          <w:kern w:val="2"/>
        </w:rPr>
        <w:t xml:space="preserve">nominal </w:t>
      </w:r>
      <w:r>
        <w:rPr>
          <w:kern w:val="2"/>
        </w:rPr>
        <w:t>fee will meet the following criteria:</w:t>
      </w:r>
    </w:p>
    <w:p w:rsidR="002C360D" w:rsidRDefault="002C360D" w:rsidP="002C360D">
      <w:pPr>
        <w:ind w:left="1080"/>
        <w:jc w:val="both"/>
        <w:rPr>
          <w:kern w:val="2"/>
        </w:rPr>
      </w:pPr>
    </w:p>
    <w:p w:rsidR="002C360D" w:rsidRDefault="002C360D" w:rsidP="002C360D">
      <w:pPr>
        <w:pStyle w:val="ListParagraph"/>
        <w:numPr>
          <w:ilvl w:val="0"/>
          <w:numId w:val="44"/>
        </w:numPr>
        <w:jc w:val="both"/>
        <w:rPr>
          <w:kern w:val="2"/>
        </w:rPr>
      </w:pPr>
      <w:r>
        <w:rPr>
          <w:kern w:val="2"/>
        </w:rPr>
        <w:t>It will be considered “n</w:t>
      </w:r>
      <w:r w:rsidRPr="000C1AF3">
        <w:rPr>
          <w:kern w:val="2"/>
        </w:rPr>
        <w:t>ominal</w:t>
      </w:r>
      <w:r>
        <w:rPr>
          <w:kern w:val="2"/>
        </w:rPr>
        <w:t>”</w:t>
      </w:r>
      <w:r w:rsidRPr="000C1AF3">
        <w:rPr>
          <w:kern w:val="2"/>
        </w:rPr>
        <w:t xml:space="preserve"> from the perspective of the patient</w:t>
      </w:r>
      <w:r>
        <w:rPr>
          <w:kern w:val="2"/>
        </w:rPr>
        <w:t>;</w:t>
      </w:r>
    </w:p>
    <w:p w:rsidR="002C360D" w:rsidRDefault="002C360D" w:rsidP="002C360D">
      <w:pPr>
        <w:pStyle w:val="ListParagraph"/>
        <w:numPr>
          <w:ilvl w:val="0"/>
          <w:numId w:val="44"/>
        </w:numPr>
        <w:jc w:val="both"/>
        <w:rPr>
          <w:kern w:val="2"/>
        </w:rPr>
      </w:pPr>
      <w:r>
        <w:rPr>
          <w:kern w:val="2"/>
        </w:rPr>
        <w:t xml:space="preserve">It will be a fixed fee and </w:t>
      </w:r>
      <w:r w:rsidRPr="000C1AF3">
        <w:rPr>
          <w:kern w:val="2"/>
        </w:rPr>
        <w:t>not a perce</w:t>
      </w:r>
      <w:r>
        <w:rPr>
          <w:kern w:val="2"/>
        </w:rPr>
        <w:t>ntage of the actual charge/cost;</w:t>
      </w:r>
    </w:p>
    <w:p w:rsidR="002C360D" w:rsidRDefault="002C360D" w:rsidP="002C360D">
      <w:pPr>
        <w:pStyle w:val="ListParagraph"/>
        <w:numPr>
          <w:ilvl w:val="0"/>
          <w:numId w:val="44"/>
        </w:numPr>
        <w:jc w:val="both"/>
        <w:rPr>
          <w:kern w:val="2"/>
        </w:rPr>
      </w:pPr>
      <w:r>
        <w:rPr>
          <w:kern w:val="2"/>
        </w:rPr>
        <w:t xml:space="preserve">It will not </w:t>
      </w:r>
      <w:r w:rsidRPr="000C1AF3">
        <w:rPr>
          <w:kern w:val="2"/>
        </w:rPr>
        <w:t>reflect the true cost of the service(s) being provi</w:t>
      </w:r>
      <w:r>
        <w:rPr>
          <w:kern w:val="2"/>
        </w:rPr>
        <w:t xml:space="preserve">ded; </w:t>
      </w:r>
    </w:p>
    <w:p w:rsidR="002C360D" w:rsidRDefault="002C360D" w:rsidP="002C360D">
      <w:pPr>
        <w:pStyle w:val="ListParagraph"/>
        <w:numPr>
          <w:ilvl w:val="0"/>
          <w:numId w:val="44"/>
        </w:numPr>
        <w:jc w:val="both"/>
        <w:rPr>
          <w:kern w:val="2"/>
        </w:rPr>
      </w:pPr>
      <w:r>
        <w:rPr>
          <w:kern w:val="2"/>
        </w:rPr>
        <w:t xml:space="preserve">It will be no </w:t>
      </w:r>
      <w:r w:rsidRPr="000C1AF3">
        <w:rPr>
          <w:kern w:val="2"/>
        </w:rPr>
        <w:t xml:space="preserve">more than the fee paid by a patient in the first sliding fee discount schedule pay class above 100 percent of </w:t>
      </w:r>
      <w:r>
        <w:rPr>
          <w:kern w:val="2"/>
        </w:rPr>
        <w:t xml:space="preserve">the Federal Poverty Guideline; and </w:t>
      </w:r>
    </w:p>
    <w:p w:rsidR="002C360D" w:rsidRPr="000C1AF3" w:rsidRDefault="002C360D" w:rsidP="002C360D">
      <w:pPr>
        <w:pStyle w:val="ListParagraph"/>
        <w:numPr>
          <w:ilvl w:val="0"/>
          <w:numId w:val="44"/>
        </w:numPr>
        <w:jc w:val="both"/>
        <w:rPr>
          <w:kern w:val="2"/>
        </w:rPr>
      </w:pPr>
      <w:r>
        <w:rPr>
          <w:kern w:val="2"/>
        </w:rPr>
        <w:t>It will not reflect a minimum fee or payment threshold.</w:t>
      </w:r>
    </w:p>
    <w:p w:rsidR="002C360D" w:rsidRDefault="002C360D" w:rsidP="002C360D">
      <w:pPr>
        <w:jc w:val="both"/>
        <w:rPr>
          <w:kern w:val="2"/>
        </w:rPr>
      </w:pPr>
    </w:p>
    <w:p w:rsidR="002C360D" w:rsidRDefault="002C360D" w:rsidP="002C360D">
      <w:pPr>
        <w:ind w:left="1080"/>
        <w:jc w:val="both"/>
        <w:rPr>
          <w:kern w:val="2"/>
        </w:rPr>
      </w:pPr>
      <w:r>
        <w:rPr>
          <w:kern w:val="2"/>
        </w:rPr>
        <w:t>Health Center will review the nominal fee annually to determine whether it continues to meet the aforementioned criteria.  In particular, Health Center will determine whether the nominal fee continues to be nominal from the patients’ perspective through a combination of the following:</w:t>
      </w:r>
    </w:p>
    <w:p w:rsidR="002C360D" w:rsidRDefault="002C360D" w:rsidP="002C360D">
      <w:pPr>
        <w:ind w:left="1080"/>
        <w:jc w:val="both"/>
        <w:rPr>
          <w:kern w:val="2"/>
        </w:rPr>
      </w:pPr>
    </w:p>
    <w:p w:rsidR="002C360D" w:rsidRDefault="002C360D" w:rsidP="002C360D">
      <w:pPr>
        <w:pStyle w:val="ListParagraph"/>
        <w:numPr>
          <w:ilvl w:val="0"/>
          <w:numId w:val="45"/>
        </w:numPr>
        <w:jc w:val="both"/>
        <w:rPr>
          <w:kern w:val="2"/>
        </w:rPr>
      </w:pPr>
      <w:r>
        <w:rPr>
          <w:kern w:val="2"/>
        </w:rPr>
        <w:t>Gathering input from annual patient surveys;</w:t>
      </w:r>
    </w:p>
    <w:p w:rsidR="002C360D" w:rsidRDefault="002C360D" w:rsidP="002C360D">
      <w:pPr>
        <w:pStyle w:val="ListParagraph"/>
        <w:numPr>
          <w:ilvl w:val="0"/>
          <w:numId w:val="45"/>
        </w:numPr>
        <w:jc w:val="both"/>
        <w:rPr>
          <w:kern w:val="2"/>
        </w:rPr>
      </w:pPr>
      <w:r>
        <w:rPr>
          <w:kern w:val="2"/>
        </w:rPr>
        <w:t xml:space="preserve">Gathering input from patient board members; </w:t>
      </w:r>
    </w:p>
    <w:p w:rsidR="002C360D" w:rsidRDefault="002C360D" w:rsidP="002C360D">
      <w:pPr>
        <w:pStyle w:val="ListParagraph"/>
        <w:numPr>
          <w:ilvl w:val="0"/>
          <w:numId w:val="45"/>
        </w:numPr>
        <w:jc w:val="both"/>
        <w:rPr>
          <w:kern w:val="2"/>
        </w:rPr>
      </w:pPr>
      <w:r>
        <w:rPr>
          <w:kern w:val="2"/>
        </w:rPr>
        <w:t xml:space="preserve">Reviewing and assessing co-payments under public health insurance programs for low income individuals; and </w:t>
      </w:r>
    </w:p>
    <w:p w:rsidR="002C360D" w:rsidRDefault="002C360D" w:rsidP="002C360D">
      <w:pPr>
        <w:pStyle w:val="ListParagraph"/>
        <w:numPr>
          <w:ilvl w:val="0"/>
          <w:numId w:val="45"/>
        </w:numPr>
        <w:jc w:val="both"/>
        <w:rPr>
          <w:kern w:val="2"/>
        </w:rPr>
      </w:pPr>
      <w:r>
        <w:rPr>
          <w:kern w:val="2"/>
        </w:rPr>
        <w:t>Reviewing and assessing collection rates and trends for nominal fee patients.</w:t>
      </w:r>
    </w:p>
    <w:p w:rsidR="002C360D" w:rsidRPr="00FA789E" w:rsidRDefault="002C360D" w:rsidP="002C360D">
      <w:pPr>
        <w:jc w:val="both"/>
        <w:rPr>
          <w:kern w:val="2"/>
        </w:rPr>
      </w:pPr>
    </w:p>
    <w:p w:rsidR="00C77FEF" w:rsidRDefault="00BF63D8" w:rsidP="004F1CAD">
      <w:pPr>
        <w:numPr>
          <w:ilvl w:val="0"/>
          <w:numId w:val="37"/>
        </w:numPr>
        <w:jc w:val="both"/>
        <w:rPr>
          <w:kern w:val="2"/>
        </w:rPr>
      </w:pPr>
      <w:r w:rsidRPr="00FA789E">
        <w:rPr>
          <w:kern w:val="2"/>
        </w:rPr>
        <w:t xml:space="preserve">Health Center will discount charges for </w:t>
      </w:r>
      <w:r w:rsidR="008651D5" w:rsidRPr="00FA789E">
        <w:rPr>
          <w:kern w:val="2"/>
        </w:rPr>
        <w:t>individuals</w:t>
      </w:r>
      <w:r w:rsidRPr="00FA789E">
        <w:rPr>
          <w:kern w:val="2"/>
        </w:rPr>
        <w:t xml:space="preserve"> and families with annual incomes above 100% and at or below 200% of the Federal Poverty Guidelines. </w:t>
      </w:r>
      <w:r w:rsidR="008651D5" w:rsidRPr="00FA789E">
        <w:rPr>
          <w:kern w:val="2"/>
        </w:rPr>
        <w:t>There must be at least three discount pay classes and the discounts must be tied to gradations in income level.</w:t>
      </w:r>
    </w:p>
    <w:p w:rsidR="002C360D" w:rsidRDefault="002C360D" w:rsidP="002C360D">
      <w:pPr>
        <w:jc w:val="both"/>
        <w:rPr>
          <w:kern w:val="2"/>
        </w:rPr>
      </w:pPr>
    </w:p>
    <w:p w:rsidR="002C360D" w:rsidRPr="009D5303" w:rsidRDefault="009D5303" w:rsidP="009D5303">
      <w:pPr>
        <w:ind w:left="1080"/>
        <w:jc w:val="both"/>
        <w:rPr>
          <w:kern w:val="2"/>
        </w:rPr>
      </w:pPr>
      <w:r w:rsidRPr="009D5303">
        <w:rPr>
          <w:kern w:val="2"/>
        </w:rPr>
        <w:t>[</w:t>
      </w:r>
      <w:r w:rsidR="00527D73">
        <w:rPr>
          <w:kern w:val="2"/>
        </w:rPr>
        <w:t>NOTE that a</w:t>
      </w:r>
      <w:bookmarkStart w:id="0" w:name="_GoBack"/>
      <w:bookmarkEnd w:id="0"/>
      <w:r w:rsidRPr="009D5303">
        <w:rPr>
          <w:kern w:val="2"/>
        </w:rPr>
        <w:t xml:space="preserve">s long as the complexity of the sliding fee discount schedule structure does not create a barrier to care, each health center has discretion regarding the structure of their sliding fee discount schedule, including whether to have more than three discount pay classes and what types of discounts to offer (i.e., percentage of fee or fixed/flat fee). However, the </w:t>
      </w:r>
      <w:r w:rsidRPr="005777AA">
        <w:rPr>
          <w:i/>
          <w:kern w:val="2"/>
        </w:rPr>
        <w:t xml:space="preserve">Health Center Site Visit Guide </w:t>
      </w:r>
      <w:r w:rsidRPr="005777AA">
        <w:rPr>
          <w:kern w:val="2"/>
        </w:rPr>
        <w:t>(Nov 2014)</w:t>
      </w:r>
      <w:r w:rsidRPr="009D5303">
        <w:rPr>
          <w:kern w:val="2"/>
        </w:rPr>
        <w:t xml:space="preserve"> requires that the health center’s SFDP policy and procedure include the “specific structure of all sliding fee discount schedule(s).” Some reviewers have interpreted this requirement to include more specific statements about the sliding fee discount schedule than those in this sample policy, in particular, statements regarding the number of discount pay classes, the corresponding income percentage or flat fee for each level, etc. Accordingly, we advise including such detail in this policy.  If the health center has multiple sliding fee discount schedules based on categories of service (e.g., medical, dental, behavioral health), then it should state as much in this policy and procedure and the details of each should be addressed.]</w:t>
      </w:r>
    </w:p>
    <w:p w:rsidR="002C360D" w:rsidRPr="00FA789E" w:rsidRDefault="002C360D" w:rsidP="002C360D">
      <w:pPr>
        <w:jc w:val="both"/>
        <w:rPr>
          <w:kern w:val="2"/>
        </w:rPr>
      </w:pPr>
    </w:p>
    <w:p w:rsidR="003833B9" w:rsidRPr="00FA789E" w:rsidRDefault="003833B9" w:rsidP="004F1CAD">
      <w:pPr>
        <w:numPr>
          <w:ilvl w:val="0"/>
          <w:numId w:val="37"/>
        </w:numPr>
        <w:jc w:val="both"/>
        <w:rPr>
          <w:kern w:val="2"/>
        </w:rPr>
      </w:pPr>
      <w:r w:rsidRPr="00FA789E">
        <w:rPr>
          <w:kern w:val="2"/>
        </w:rPr>
        <w:t xml:space="preserve">Individuals and families with annual incomes above 200% of the Federal Poverty Guidelines will not receive a discount under the </w:t>
      </w:r>
      <w:r w:rsidR="007F52C4" w:rsidRPr="00FA789E">
        <w:rPr>
          <w:kern w:val="2"/>
        </w:rPr>
        <w:t>sliding fee discount schedule</w:t>
      </w:r>
      <w:r w:rsidRPr="00FA789E">
        <w:rPr>
          <w:kern w:val="2"/>
        </w:rPr>
        <w:t xml:space="preserve">. </w:t>
      </w:r>
    </w:p>
    <w:p w:rsidR="004F333A" w:rsidRPr="00FA789E" w:rsidRDefault="004F333A" w:rsidP="004F1CAD">
      <w:pPr>
        <w:jc w:val="both"/>
        <w:rPr>
          <w:kern w:val="2"/>
        </w:rPr>
      </w:pPr>
    </w:p>
    <w:p w:rsidR="00A37B5B" w:rsidRPr="00FA789E" w:rsidRDefault="006451EF" w:rsidP="004F1CAD">
      <w:pPr>
        <w:jc w:val="both"/>
        <w:rPr>
          <w:kern w:val="2"/>
        </w:rPr>
      </w:pPr>
      <w:r w:rsidRPr="00FA789E">
        <w:rPr>
          <w:kern w:val="2"/>
        </w:rPr>
        <w:t xml:space="preserve">The </w:t>
      </w:r>
      <w:r w:rsidR="007F52C4" w:rsidRPr="00FA789E">
        <w:rPr>
          <w:kern w:val="2"/>
        </w:rPr>
        <w:t>sliding fee discount schedule</w:t>
      </w:r>
      <w:r w:rsidRPr="00FA789E">
        <w:rPr>
          <w:kern w:val="2"/>
        </w:rPr>
        <w:t xml:space="preserve"> will be applied </w:t>
      </w:r>
      <w:r w:rsidR="008651D5" w:rsidRPr="00FA789E">
        <w:rPr>
          <w:kern w:val="2"/>
        </w:rPr>
        <w:t>uniformly</w:t>
      </w:r>
      <w:r w:rsidRPr="00FA789E">
        <w:rPr>
          <w:kern w:val="2"/>
        </w:rPr>
        <w:t xml:space="preserve"> to patients who </w:t>
      </w:r>
      <w:r w:rsidR="00A7556E" w:rsidRPr="00FA789E">
        <w:rPr>
          <w:kern w:val="2"/>
        </w:rPr>
        <w:t>are eligible, as set for</w:t>
      </w:r>
      <w:r w:rsidR="009D2FC7" w:rsidRPr="00FA789E">
        <w:rPr>
          <w:kern w:val="2"/>
        </w:rPr>
        <w:t>th</w:t>
      </w:r>
      <w:r w:rsidR="00A7556E" w:rsidRPr="00FA789E">
        <w:rPr>
          <w:kern w:val="2"/>
        </w:rPr>
        <w:t xml:space="preserve"> </w:t>
      </w:r>
      <w:r w:rsidR="002153CF" w:rsidRPr="00FA789E">
        <w:rPr>
          <w:kern w:val="2"/>
        </w:rPr>
        <w:t xml:space="preserve">below </w:t>
      </w:r>
      <w:r w:rsidR="00A7556E" w:rsidRPr="00FA789E">
        <w:rPr>
          <w:kern w:val="2"/>
        </w:rPr>
        <w:t xml:space="preserve">in </w:t>
      </w:r>
      <w:r w:rsidR="009C0F76" w:rsidRPr="00FA789E">
        <w:rPr>
          <w:kern w:val="2"/>
        </w:rPr>
        <w:t>sectio</w:t>
      </w:r>
      <w:r w:rsidR="009D2FC7" w:rsidRPr="00FA789E">
        <w:rPr>
          <w:kern w:val="2"/>
        </w:rPr>
        <w:t>n</w:t>
      </w:r>
      <w:r w:rsidR="00A7556E" w:rsidRPr="00FA789E">
        <w:rPr>
          <w:kern w:val="2"/>
        </w:rPr>
        <w:t xml:space="preserve"> 5</w:t>
      </w:r>
      <w:r w:rsidR="00A37B5B" w:rsidRPr="00FA789E">
        <w:rPr>
          <w:kern w:val="2"/>
        </w:rPr>
        <w:t>.</w:t>
      </w:r>
    </w:p>
    <w:p w:rsidR="00A37B5B" w:rsidRPr="00FA789E" w:rsidRDefault="00A37B5B" w:rsidP="004F1CAD">
      <w:pPr>
        <w:jc w:val="both"/>
        <w:rPr>
          <w:kern w:val="2"/>
        </w:rPr>
      </w:pPr>
    </w:p>
    <w:p w:rsidR="008D7F9C" w:rsidRPr="00FA789E" w:rsidRDefault="00372F29" w:rsidP="004F1CAD">
      <w:pPr>
        <w:jc w:val="both"/>
        <w:rPr>
          <w:kern w:val="2"/>
        </w:rPr>
      </w:pPr>
      <w:r w:rsidRPr="00FA789E">
        <w:rPr>
          <w:kern w:val="2"/>
        </w:rPr>
        <w:t xml:space="preserve">The </w:t>
      </w:r>
      <w:r w:rsidR="007F52C4" w:rsidRPr="00FA789E">
        <w:rPr>
          <w:kern w:val="2"/>
        </w:rPr>
        <w:t>sliding fee discount schedule</w:t>
      </w:r>
      <w:r w:rsidRPr="00FA789E">
        <w:rPr>
          <w:kern w:val="2"/>
        </w:rPr>
        <w:t xml:space="preserve"> will be revised annually to reflect updates to the Federal Poverty Guidelines.</w:t>
      </w:r>
      <w:r w:rsidR="00194720" w:rsidRPr="00FA789E">
        <w:rPr>
          <w:kern w:val="2"/>
        </w:rPr>
        <w:t xml:space="preserve"> </w:t>
      </w:r>
      <w:r w:rsidRPr="00FA789E">
        <w:rPr>
          <w:kern w:val="2"/>
        </w:rPr>
        <w:t>T</w:t>
      </w:r>
      <w:r w:rsidR="003A2011" w:rsidRPr="00FA789E">
        <w:rPr>
          <w:kern w:val="2"/>
        </w:rPr>
        <w:t xml:space="preserve">he </w:t>
      </w:r>
      <w:r w:rsidR="007F52C4" w:rsidRPr="00FA789E">
        <w:rPr>
          <w:kern w:val="2"/>
        </w:rPr>
        <w:t>sliding fee discount schedule</w:t>
      </w:r>
      <w:r w:rsidR="003A2011" w:rsidRPr="00FA789E">
        <w:rPr>
          <w:kern w:val="2"/>
        </w:rPr>
        <w:t xml:space="preserve"> will </w:t>
      </w:r>
      <w:r w:rsidR="008D7F9C" w:rsidRPr="00FA789E">
        <w:rPr>
          <w:kern w:val="2"/>
        </w:rPr>
        <w:t xml:space="preserve">also </w:t>
      </w:r>
      <w:r w:rsidR="003A2011" w:rsidRPr="00FA789E">
        <w:rPr>
          <w:kern w:val="2"/>
        </w:rPr>
        <w:t xml:space="preserve">be </w:t>
      </w:r>
      <w:r w:rsidR="001F135B">
        <w:rPr>
          <w:kern w:val="2"/>
        </w:rPr>
        <w:t>evaluated periodically (at least every three years)</w:t>
      </w:r>
      <w:r w:rsidRPr="00FA789E">
        <w:rPr>
          <w:kern w:val="2"/>
        </w:rPr>
        <w:t xml:space="preserve"> for its effectiveness in addressing financial barriers to care and updated, as necessary.</w:t>
      </w:r>
      <w:r w:rsidR="00194720" w:rsidRPr="00FA789E">
        <w:rPr>
          <w:kern w:val="2"/>
        </w:rPr>
        <w:t xml:space="preserve"> </w:t>
      </w:r>
      <w:r w:rsidR="008D7F9C" w:rsidRPr="00FA789E">
        <w:rPr>
          <w:kern w:val="2"/>
        </w:rPr>
        <w:t xml:space="preserve">All amendments to the </w:t>
      </w:r>
      <w:r w:rsidR="007F52C4" w:rsidRPr="00FA789E">
        <w:rPr>
          <w:kern w:val="2"/>
        </w:rPr>
        <w:t>sliding fee discount schedule</w:t>
      </w:r>
      <w:r w:rsidR="00D35C8A">
        <w:rPr>
          <w:kern w:val="2"/>
        </w:rPr>
        <w:t>, including the applicati</w:t>
      </w:r>
      <w:r w:rsidR="005777AA">
        <w:rPr>
          <w:kern w:val="2"/>
        </w:rPr>
        <w:t>on of any and all nominal fees,</w:t>
      </w:r>
      <w:r w:rsidR="008D7F9C" w:rsidRPr="00FA789E">
        <w:rPr>
          <w:kern w:val="2"/>
        </w:rPr>
        <w:t xml:space="preserve"> must be approved by Health Center’s Board of Directors. </w:t>
      </w:r>
    </w:p>
    <w:p w:rsidR="005229D8" w:rsidRPr="00FA789E" w:rsidRDefault="005229D8" w:rsidP="004F1CAD">
      <w:pPr>
        <w:jc w:val="both"/>
        <w:rPr>
          <w:kern w:val="2"/>
        </w:rPr>
      </w:pPr>
    </w:p>
    <w:p w:rsidR="00A82FA8" w:rsidRDefault="00D23474" w:rsidP="0030058A">
      <w:pPr>
        <w:tabs>
          <w:tab w:val="left" w:pos="360"/>
        </w:tabs>
        <w:jc w:val="both"/>
        <w:rPr>
          <w:kern w:val="2"/>
        </w:rPr>
      </w:pPr>
      <w:r w:rsidRPr="00FA789E">
        <w:rPr>
          <w:b/>
          <w:kern w:val="2"/>
        </w:rPr>
        <w:t>3.</w:t>
      </w:r>
      <w:r w:rsidR="0030058A" w:rsidRPr="00FA789E">
        <w:rPr>
          <w:b/>
          <w:kern w:val="2"/>
        </w:rPr>
        <w:tab/>
      </w:r>
      <w:r w:rsidR="00A657E7" w:rsidRPr="00FA789E">
        <w:rPr>
          <w:b/>
          <w:kern w:val="2"/>
        </w:rPr>
        <w:t xml:space="preserve">Supplies and </w:t>
      </w:r>
      <w:r w:rsidR="003977F7" w:rsidRPr="00FA789E">
        <w:rPr>
          <w:b/>
          <w:kern w:val="2"/>
        </w:rPr>
        <w:t>e</w:t>
      </w:r>
      <w:r w:rsidR="00A657E7" w:rsidRPr="00FA789E">
        <w:rPr>
          <w:b/>
          <w:kern w:val="2"/>
        </w:rPr>
        <w:t>quipment</w:t>
      </w:r>
      <w:r w:rsidR="00A657E7" w:rsidRPr="00FA789E">
        <w:rPr>
          <w:kern w:val="2"/>
        </w:rPr>
        <w:t>.</w:t>
      </w:r>
      <w:r w:rsidR="00194720" w:rsidRPr="00FA789E">
        <w:rPr>
          <w:kern w:val="2"/>
        </w:rPr>
        <w:t xml:space="preserve"> </w:t>
      </w:r>
      <w:r w:rsidR="00326879" w:rsidRPr="00FA789E">
        <w:rPr>
          <w:kern w:val="2"/>
        </w:rPr>
        <w:t xml:space="preserve">If </w:t>
      </w:r>
      <w:r w:rsidR="00A657E7" w:rsidRPr="00FA789E">
        <w:rPr>
          <w:kern w:val="2"/>
        </w:rPr>
        <w:t xml:space="preserve">Health Center </w:t>
      </w:r>
      <w:r w:rsidR="00326879" w:rsidRPr="00FA789E">
        <w:rPr>
          <w:kern w:val="2"/>
        </w:rPr>
        <w:t xml:space="preserve">acquires, purchases or facilitates access to supplies and </w:t>
      </w:r>
      <w:r w:rsidR="00A576E1" w:rsidRPr="00FA789E">
        <w:rPr>
          <w:kern w:val="2"/>
        </w:rPr>
        <w:t>equipment</w:t>
      </w:r>
      <w:r w:rsidR="00326879" w:rsidRPr="00FA789E">
        <w:rPr>
          <w:kern w:val="2"/>
        </w:rPr>
        <w:t xml:space="preserve"> (e.g., eyeglasses and dentures), it reserves the right to charge patients </w:t>
      </w:r>
      <w:r w:rsidR="00A576E1" w:rsidRPr="00FA789E">
        <w:rPr>
          <w:kern w:val="2"/>
        </w:rPr>
        <w:t xml:space="preserve">based on a different schedule of discounts. </w:t>
      </w:r>
      <w:r w:rsidR="00587575" w:rsidRPr="00FA789E">
        <w:rPr>
          <w:kern w:val="2"/>
        </w:rPr>
        <w:t xml:space="preserve">Health Center may charge patients for </w:t>
      </w:r>
      <w:r w:rsidR="00A576E1" w:rsidRPr="00FA789E">
        <w:rPr>
          <w:kern w:val="2"/>
        </w:rPr>
        <w:t xml:space="preserve">such supplies and equipment </w:t>
      </w:r>
      <w:r w:rsidR="00587575" w:rsidRPr="00FA789E">
        <w:rPr>
          <w:kern w:val="2"/>
        </w:rPr>
        <w:t>based on amounts that</w:t>
      </w:r>
      <w:r w:rsidR="004A5A45">
        <w:rPr>
          <w:kern w:val="2"/>
        </w:rPr>
        <w:t xml:space="preserve"> are less than prevailing rates.  Further, such charges may</w:t>
      </w:r>
      <w:r w:rsidR="00587575" w:rsidRPr="00FA789E">
        <w:rPr>
          <w:kern w:val="2"/>
        </w:rPr>
        <w:t xml:space="preserve"> </w:t>
      </w:r>
      <w:r w:rsidR="00587575" w:rsidRPr="00FA789E">
        <w:rPr>
          <w:kern w:val="2"/>
        </w:rPr>
        <w:lastRenderedPageBreak/>
        <w:t>be set to cover the reaso</w:t>
      </w:r>
      <w:r w:rsidR="004A5A45">
        <w:rPr>
          <w:kern w:val="2"/>
        </w:rPr>
        <w:t>nable costs of such items or may</w:t>
      </w:r>
      <w:r w:rsidR="00587575" w:rsidRPr="00FA789E">
        <w:rPr>
          <w:kern w:val="2"/>
        </w:rPr>
        <w:t xml:space="preserve"> be further discounted to pass additional savings on to patients.</w:t>
      </w:r>
      <w:r w:rsidR="00013273" w:rsidRPr="00FA789E">
        <w:rPr>
          <w:kern w:val="2"/>
        </w:rPr>
        <w:t xml:space="preserve"> </w:t>
      </w:r>
    </w:p>
    <w:p w:rsidR="00A82FA8" w:rsidRDefault="00A82FA8" w:rsidP="0030058A">
      <w:pPr>
        <w:tabs>
          <w:tab w:val="left" w:pos="360"/>
        </w:tabs>
        <w:jc w:val="both"/>
        <w:rPr>
          <w:kern w:val="2"/>
        </w:rPr>
      </w:pPr>
    </w:p>
    <w:p w:rsidR="00A82FA8" w:rsidRPr="001809FB" w:rsidRDefault="00A82FA8" w:rsidP="00A82FA8">
      <w:pPr>
        <w:tabs>
          <w:tab w:val="left" w:pos="360"/>
        </w:tabs>
        <w:ind w:left="720"/>
        <w:jc w:val="both"/>
        <w:rPr>
          <w:kern w:val="2"/>
        </w:rPr>
      </w:pPr>
      <w:r w:rsidRPr="001809FB">
        <w:rPr>
          <w:kern w:val="2"/>
        </w:rPr>
        <w:t>[Note that, similar to the sliding fee discount schedule, health centers should include specific statements regarding the discounted charges for supplies and equipment in this policy and procedure. For example, if the health center intends to pass through the cost to the patient, the health center’s policy should specifically state such. In addition, health centers should include additional detail regarding provisions to waive or reduce payments on these supplies and equipment consistent with Board-approved policies and the health center’s supporting operating procedures.]</w:t>
      </w:r>
    </w:p>
    <w:p w:rsidR="00A82FA8" w:rsidRDefault="00A82FA8" w:rsidP="0030058A">
      <w:pPr>
        <w:tabs>
          <w:tab w:val="left" w:pos="360"/>
        </w:tabs>
        <w:jc w:val="both"/>
        <w:rPr>
          <w:kern w:val="2"/>
        </w:rPr>
      </w:pPr>
    </w:p>
    <w:p w:rsidR="00F32D42" w:rsidRPr="00FA789E" w:rsidRDefault="00013273" w:rsidP="00CE5260">
      <w:pPr>
        <w:tabs>
          <w:tab w:val="left" w:pos="360"/>
        </w:tabs>
        <w:jc w:val="both"/>
        <w:rPr>
          <w:kern w:val="2"/>
        </w:rPr>
      </w:pPr>
      <w:r w:rsidRPr="00FA789E">
        <w:rPr>
          <w:kern w:val="2"/>
        </w:rPr>
        <w:t>If any patient cannot afford supplies and equipment, Health Center will offer opportunities for payment plans, or if necessary, waivers or reductions of payments, consistent with Section 9.</w:t>
      </w:r>
      <w:r w:rsidR="00CE5260">
        <w:rPr>
          <w:kern w:val="2"/>
        </w:rPr>
        <w:t xml:space="preserve">  </w:t>
      </w:r>
      <w:r w:rsidR="00F32D42" w:rsidRPr="00FA789E">
        <w:rPr>
          <w:kern w:val="2"/>
        </w:rPr>
        <w:t>Prior to the provision of a service, patients must be informed of: (1) when the supplies or equipment related to a given service will result in separate charges from the service; (2) what the total amount of out of pocket costs for these supplies or equipment will be; and (3) what, if any, p</w:t>
      </w:r>
      <w:r w:rsidR="00CE5260">
        <w:rPr>
          <w:kern w:val="2"/>
        </w:rPr>
        <w:t>ayment plans will be available.</w:t>
      </w:r>
    </w:p>
    <w:p w:rsidR="00F32D42" w:rsidRPr="00FA789E" w:rsidRDefault="00F32D42" w:rsidP="004F1CAD">
      <w:pPr>
        <w:jc w:val="both"/>
        <w:rPr>
          <w:kern w:val="2"/>
        </w:rPr>
      </w:pPr>
    </w:p>
    <w:p w:rsidR="00F018BB" w:rsidRPr="00FA789E" w:rsidRDefault="00D23474" w:rsidP="0030058A">
      <w:pPr>
        <w:tabs>
          <w:tab w:val="left" w:pos="360"/>
        </w:tabs>
        <w:jc w:val="both"/>
        <w:rPr>
          <w:kern w:val="2"/>
        </w:rPr>
      </w:pPr>
      <w:r w:rsidRPr="00FA789E">
        <w:rPr>
          <w:b/>
          <w:kern w:val="2"/>
        </w:rPr>
        <w:t>4</w:t>
      </w:r>
      <w:r w:rsidR="003977F7" w:rsidRPr="00FA789E">
        <w:rPr>
          <w:b/>
          <w:kern w:val="2"/>
        </w:rPr>
        <w:t>.</w:t>
      </w:r>
      <w:r w:rsidR="0030058A" w:rsidRPr="00FA789E">
        <w:rPr>
          <w:b/>
          <w:kern w:val="2"/>
        </w:rPr>
        <w:tab/>
      </w:r>
      <w:r w:rsidR="003977F7" w:rsidRPr="00FA789E">
        <w:rPr>
          <w:b/>
          <w:kern w:val="2"/>
        </w:rPr>
        <w:t>Publicizing d</w:t>
      </w:r>
      <w:r w:rsidR="00F018BB" w:rsidRPr="00FA789E">
        <w:rPr>
          <w:b/>
          <w:kern w:val="2"/>
        </w:rPr>
        <w:t>iscounts.</w:t>
      </w:r>
      <w:r w:rsidR="00F018BB" w:rsidRPr="00FA789E">
        <w:rPr>
          <w:kern w:val="2"/>
        </w:rPr>
        <w:t xml:space="preserve"> </w:t>
      </w:r>
      <w:r w:rsidR="009808E9" w:rsidRPr="00FA789E">
        <w:rPr>
          <w:kern w:val="2"/>
        </w:rPr>
        <w:t xml:space="preserve">Health Center </w:t>
      </w:r>
      <w:r w:rsidR="00C12D9A" w:rsidRPr="00FA789E">
        <w:rPr>
          <w:rFonts w:eastAsia="Arial"/>
          <w:kern w:val="2"/>
        </w:rPr>
        <w:t>[</w:t>
      </w:r>
      <w:r w:rsidR="00C12D9A" w:rsidRPr="00FA789E">
        <w:rPr>
          <w:rFonts w:eastAsia="Arial"/>
          <w:i/>
          <w:kern w:val="2"/>
        </w:rPr>
        <w:t>registration staff</w:t>
      </w:r>
      <w:r w:rsidR="00C12D9A" w:rsidRPr="00FA789E">
        <w:rPr>
          <w:rFonts w:eastAsia="Arial"/>
          <w:kern w:val="2"/>
        </w:rPr>
        <w:t>]</w:t>
      </w:r>
      <w:r w:rsidR="009808E9" w:rsidRPr="00FA789E">
        <w:rPr>
          <w:rFonts w:eastAsia="Arial"/>
          <w:kern w:val="2"/>
        </w:rPr>
        <w:t xml:space="preserve"> shall inform all patients about the availability of the </w:t>
      </w:r>
      <w:r w:rsidR="00D10963" w:rsidRPr="00FA789E">
        <w:rPr>
          <w:kern w:val="2"/>
        </w:rPr>
        <w:t>sliding fee discount schedule</w:t>
      </w:r>
      <w:r w:rsidR="009808E9" w:rsidRPr="00FA789E">
        <w:rPr>
          <w:rFonts w:eastAsia="Arial"/>
          <w:kern w:val="2"/>
        </w:rPr>
        <w:t xml:space="preserve"> during the new patient registration process</w:t>
      </w:r>
      <w:r w:rsidR="000E0309" w:rsidRPr="00FA789E">
        <w:rPr>
          <w:rFonts w:eastAsia="Arial"/>
          <w:kern w:val="2"/>
        </w:rPr>
        <w:t xml:space="preserve"> and information </w:t>
      </w:r>
      <w:r w:rsidR="00714B92" w:rsidRPr="00FA789E">
        <w:rPr>
          <w:rFonts w:eastAsia="Arial"/>
          <w:kern w:val="2"/>
        </w:rPr>
        <w:t xml:space="preserve">about the sliding fee discount schedule </w:t>
      </w:r>
      <w:r w:rsidR="000E0309" w:rsidRPr="00FA789E">
        <w:rPr>
          <w:rFonts w:eastAsia="Arial"/>
          <w:kern w:val="2"/>
        </w:rPr>
        <w:t>will be included in new patient packets</w:t>
      </w:r>
      <w:r w:rsidR="009808E9" w:rsidRPr="00FA789E">
        <w:rPr>
          <w:rFonts w:eastAsia="Arial"/>
          <w:kern w:val="2"/>
        </w:rPr>
        <w:t xml:space="preserve">. </w:t>
      </w:r>
      <w:r w:rsidR="009808E9" w:rsidRPr="00FA789E">
        <w:rPr>
          <w:kern w:val="2"/>
        </w:rPr>
        <w:t>In addition,</w:t>
      </w:r>
      <w:r w:rsidR="009808E9" w:rsidRPr="00FA789E">
        <w:rPr>
          <w:rFonts w:eastAsia="Arial"/>
          <w:kern w:val="2"/>
        </w:rPr>
        <w:t xml:space="preserve"> </w:t>
      </w:r>
      <w:r w:rsidR="009808E9" w:rsidRPr="00FA789E">
        <w:rPr>
          <w:kern w:val="2"/>
        </w:rPr>
        <w:t xml:space="preserve">Health Center </w:t>
      </w:r>
      <w:r w:rsidR="00C12D9A" w:rsidRPr="00FA789E">
        <w:rPr>
          <w:rFonts w:eastAsia="Arial"/>
          <w:kern w:val="2"/>
        </w:rPr>
        <w:t xml:space="preserve">will </w:t>
      </w:r>
      <w:r w:rsidR="005E0F13" w:rsidRPr="00FA789E">
        <w:rPr>
          <w:rFonts w:eastAsia="Arial"/>
          <w:kern w:val="2"/>
        </w:rPr>
        <w:t xml:space="preserve">provide information regarding the </w:t>
      </w:r>
      <w:r w:rsidR="00D10963" w:rsidRPr="00FA789E">
        <w:rPr>
          <w:kern w:val="2"/>
        </w:rPr>
        <w:t>sliding fee discount schedule</w:t>
      </w:r>
      <w:r w:rsidR="005E0F13" w:rsidRPr="00FA789E">
        <w:rPr>
          <w:rFonts w:eastAsia="Arial"/>
          <w:kern w:val="2"/>
        </w:rPr>
        <w:t xml:space="preserve"> on Health Center’s website and will </w:t>
      </w:r>
      <w:r w:rsidR="009808E9" w:rsidRPr="00FA789E">
        <w:rPr>
          <w:rFonts w:eastAsia="Arial"/>
          <w:kern w:val="2"/>
        </w:rPr>
        <w:t xml:space="preserve">post clear notices in waiting rooms and other prominent areas at </w:t>
      </w:r>
      <w:r w:rsidR="009808E9" w:rsidRPr="00FA789E">
        <w:rPr>
          <w:kern w:val="2"/>
        </w:rPr>
        <w:t>Health Center</w:t>
      </w:r>
      <w:r w:rsidR="009808E9" w:rsidRPr="00FA789E">
        <w:rPr>
          <w:rFonts w:eastAsia="Arial"/>
          <w:kern w:val="2"/>
        </w:rPr>
        <w:t>’s sites</w:t>
      </w:r>
      <w:r w:rsidR="00496BAD" w:rsidRPr="00FA789E">
        <w:rPr>
          <w:rFonts w:eastAsia="Arial"/>
          <w:kern w:val="2"/>
        </w:rPr>
        <w:t xml:space="preserve">. </w:t>
      </w:r>
      <w:r w:rsidR="00516093" w:rsidRPr="00FA789E">
        <w:rPr>
          <w:rFonts w:eastAsia="Arial"/>
          <w:kern w:val="2"/>
        </w:rPr>
        <w:t>I</w:t>
      </w:r>
      <w:r w:rsidR="00496BAD" w:rsidRPr="00FA789E">
        <w:rPr>
          <w:rFonts w:eastAsia="Arial"/>
          <w:kern w:val="2"/>
        </w:rPr>
        <w:t xml:space="preserve">nformation about the </w:t>
      </w:r>
      <w:r w:rsidR="00D10963" w:rsidRPr="00FA789E">
        <w:rPr>
          <w:kern w:val="2"/>
        </w:rPr>
        <w:t>sliding fee discount schedule</w:t>
      </w:r>
      <w:r w:rsidR="00496BAD" w:rsidRPr="00FA789E">
        <w:rPr>
          <w:rFonts w:eastAsia="Arial"/>
          <w:kern w:val="2"/>
        </w:rPr>
        <w:t xml:space="preserve"> will be </w:t>
      </w:r>
      <w:r w:rsidR="005E0F13" w:rsidRPr="00FA789E">
        <w:rPr>
          <w:rFonts w:eastAsia="Arial"/>
          <w:kern w:val="2"/>
        </w:rPr>
        <w:t>available</w:t>
      </w:r>
      <w:r w:rsidR="00496BAD" w:rsidRPr="00FA789E">
        <w:rPr>
          <w:rFonts w:eastAsia="Arial"/>
          <w:kern w:val="2"/>
        </w:rPr>
        <w:t xml:space="preserve"> in appropriate languages and </w:t>
      </w:r>
      <w:r w:rsidR="00CD2ABD" w:rsidRPr="00FA789E">
        <w:rPr>
          <w:rFonts w:eastAsia="Arial"/>
          <w:kern w:val="2"/>
        </w:rPr>
        <w:t xml:space="preserve">at appropriate </w:t>
      </w:r>
      <w:r w:rsidR="0080246D" w:rsidRPr="00FA789E">
        <w:rPr>
          <w:rFonts w:eastAsia="Arial"/>
          <w:kern w:val="2"/>
        </w:rPr>
        <w:t>literacy levels.</w:t>
      </w:r>
    </w:p>
    <w:p w:rsidR="00F018BB" w:rsidRPr="00FA789E" w:rsidRDefault="00F018BB" w:rsidP="004F1CAD">
      <w:pPr>
        <w:jc w:val="both"/>
        <w:rPr>
          <w:kern w:val="2"/>
        </w:rPr>
      </w:pPr>
    </w:p>
    <w:p w:rsidR="00CA3316" w:rsidRPr="00FA789E" w:rsidRDefault="00D23474" w:rsidP="0030058A">
      <w:pPr>
        <w:pStyle w:val="ListParagraph"/>
        <w:widowControl w:val="0"/>
        <w:tabs>
          <w:tab w:val="left" w:pos="360"/>
        </w:tabs>
        <w:ind w:left="0" w:right="101"/>
        <w:contextualSpacing/>
        <w:jc w:val="both"/>
        <w:rPr>
          <w:b/>
          <w:kern w:val="2"/>
        </w:rPr>
      </w:pPr>
      <w:r w:rsidRPr="00FA789E">
        <w:rPr>
          <w:b/>
          <w:kern w:val="2"/>
        </w:rPr>
        <w:t>5</w:t>
      </w:r>
      <w:r w:rsidR="00CF1C1A" w:rsidRPr="00FA789E">
        <w:rPr>
          <w:b/>
          <w:kern w:val="2"/>
        </w:rPr>
        <w:t>.</w:t>
      </w:r>
      <w:r w:rsidR="0030058A" w:rsidRPr="00FA789E">
        <w:rPr>
          <w:b/>
          <w:kern w:val="2"/>
        </w:rPr>
        <w:tab/>
      </w:r>
      <w:r w:rsidR="00CF1C1A" w:rsidRPr="00FA789E">
        <w:rPr>
          <w:b/>
          <w:kern w:val="2"/>
        </w:rPr>
        <w:t xml:space="preserve">Determining </w:t>
      </w:r>
      <w:r w:rsidR="003977F7" w:rsidRPr="00FA789E">
        <w:rPr>
          <w:b/>
          <w:kern w:val="2"/>
        </w:rPr>
        <w:t>e</w:t>
      </w:r>
      <w:r w:rsidR="00CF1C1A" w:rsidRPr="00FA789E">
        <w:rPr>
          <w:b/>
          <w:kern w:val="2"/>
        </w:rPr>
        <w:t xml:space="preserve">ligibility. </w:t>
      </w:r>
      <w:r w:rsidR="00AC57F0" w:rsidRPr="00FA789E">
        <w:rPr>
          <w:kern w:val="2"/>
        </w:rPr>
        <w:t xml:space="preserve">Patients will not be required to apply for insurance and be turned down as a prerequisite for eligibility for the sliding fee discount. </w:t>
      </w:r>
      <w:r w:rsidR="00D033BD" w:rsidRPr="00FA789E">
        <w:rPr>
          <w:kern w:val="2"/>
        </w:rPr>
        <w:t xml:space="preserve">Eligibility for discounts </w:t>
      </w:r>
      <w:r w:rsidR="008B7FA4" w:rsidRPr="00FA789E">
        <w:rPr>
          <w:kern w:val="2"/>
        </w:rPr>
        <w:t>will be</w:t>
      </w:r>
      <w:r w:rsidR="0021270F" w:rsidRPr="00FA789E">
        <w:rPr>
          <w:kern w:val="2"/>
        </w:rPr>
        <w:t xml:space="preserve"> based </w:t>
      </w:r>
      <w:r w:rsidR="00714B92" w:rsidRPr="00FA789E">
        <w:rPr>
          <w:kern w:val="2"/>
        </w:rPr>
        <w:t xml:space="preserve">solely </w:t>
      </w:r>
      <w:r w:rsidR="0021270F" w:rsidRPr="00FA789E">
        <w:rPr>
          <w:kern w:val="2"/>
        </w:rPr>
        <w:t xml:space="preserve">on income and </w:t>
      </w:r>
      <w:r w:rsidR="00AE0FDB" w:rsidRPr="00FA789E">
        <w:rPr>
          <w:kern w:val="2"/>
        </w:rPr>
        <w:t xml:space="preserve">household </w:t>
      </w:r>
      <w:r w:rsidR="0021270F" w:rsidRPr="00FA789E">
        <w:rPr>
          <w:kern w:val="2"/>
        </w:rPr>
        <w:t xml:space="preserve">size </w:t>
      </w:r>
      <w:r w:rsidR="00E51574" w:rsidRPr="00FA789E">
        <w:rPr>
          <w:kern w:val="2"/>
        </w:rPr>
        <w:t>under the Department of Health and Human Services’ annual Poverty Guidelines</w:t>
      </w:r>
      <w:r w:rsidR="0021270F" w:rsidRPr="00FA789E">
        <w:rPr>
          <w:kern w:val="2"/>
        </w:rPr>
        <w:t>.</w:t>
      </w:r>
      <w:r w:rsidR="00AE0FDB" w:rsidRPr="00FA789E">
        <w:rPr>
          <w:rStyle w:val="FootnoteReference"/>
          <w:kern w:val="2"/>
        </w:rPr>
        <w:footnoteReference w:id="3"/>
      </w:r>
      <w:r w:rsidR="0021270F" w:rsidRPr="00FA789E">
        <w:rPr>
          <w:kern w:val="2"/>
        </w:rPr>
        <w:t xml:space="preserve"> </w:t>
      </w:r>
      <w:r w:rsidR="00CF1C1A" w:rsidRPr="00FA789E">
        <w:rPr>
          <w:kern w:val="2"/>
        </w:rPr>
        <w:t xml:space="preserve">Health Center will assess income and </w:t>
      </w:r>
      <w:r w:rsidR="00AE0FDB" w:rsidRPr="00FA789E">
        <w:rPr>
          <w:kern w:val="2"/>
        </w:rPr>
        <w:t xml:space="preserve">household </w:t>
      </w:r>
      <w:r w:rsidR="00CF1C1A" w:rsidRPr="00FA789E">
        <w:rPr>
          <w:kern w:val="2"/>
        </w:rPr>
        <w:t xml:space="preserve">size for all patients for </w:t>
      </w:r>
      <w:r w:rsidR="008B7FA4" w:rsidRPr="00FA789E">
        <w:rPr>
          <w:kern w:val="2"/>
        </w:rPr>
        <w:t>UDS purposes and to determine if</w:t>
      </w:r>
      <w:r w:rsidR="00CF1C1A" w:rsidRPr="00FA789E">
        <w:rPr>
          <w:kern w:val="2"/>
        </w:rPr>
        <w:t xml:space="preserve"> they are eligi</w:t>
      </w:r>
      <w:r w:rsidR="00557202" w:rsidRPr="00FA789E">
        <w:rPr>
          <w:kern w:val="2"/>
        </w:rPr>
        <w:t>ble for sliding fee discounts</w:t>
      </w:r>
      <w:r w:rsidR="00CA0E58" w:rsidRPr="00FA789E">
        <w:rPr>
          <w:kern w:val="2"/>
        </w:rPr>
        <w:t>, unless the patient refuses to be assessed</w:t>
      </w:r>
      <w:r w:rsidR="00557202" w:rsidRPr="00FA789E">
        <w:rPr>
          <w:kern w:val="2"/>
        </w:rPr>
        <w:t>.</w:t>
      </w:r>
    </w:p>
    <w:p w:rsidR="00111ADE" w:rsidRPr="00FA789E" w:rsidRDefault="00111ADE" w:rsidP="004F1CAD">
      <w:pPr>
        <w:pStyle w:val="ListParagraph"/>
        <w:widowControl w:val="0"/>
        <w:ind w:left="0" w:right="101"/>
        <w:contextualSpacing/>
        <w:jc w:val="both"/>
        <w:rPr>
          <w:b/>
          <w:kern w:val="2"/>
        </w:rPr>
      </w:pPr>
    </w:p>
    <w:p w:rsidR="00CF1C1A" w:rsidRPr="00FA789E" w:rsidRDefault="004664E5" w:rsidP="004F1CAD">
      <w:pPr>
        <w:pStyle w:val="ListParagraph"/>
        <w:widowControl w:val="0"/>
        <w:tabs>
          <w:tab w:val="left" w:pos="0"/>
        </w:tabs>
        <w:ind w:left="0" w:right="101"/>
        <w:contextualSpacing/>
        <w:jc w:val="both"/>
        <w:rPr>
          <w:kern w:val="2"/>
        </w:rPr>
      </w:pPr>
      <w:r w:rsidRPr="00FA789E">
        <w:rPr>
          <w:kern w:val="2"/>
        </w:rPr>
        <w:t xml:space="preserve">Income shall include the following: </w:t>
      </w:r>
    </w:p>
    <w:p w:rsidR="00BE2A9D" w:rsidRPr="00FA789E" w:rsidRDefault="00BE2A9D" w:rsidP="00132A64">
      <w:pPr>
        <w:pStyle w:val="ListParagraph"/>
        <w:widowControl w:val="0"/>
        <w:tabs>
          <w:tab w:val="left" w:pos="0"/>
        </w:tabs>
        <w:ind w:right="101"/>
        <w:contextualSpacing/>
        <w:jc w:val="both"/>
        <w:rPr>
          <w:kern w:val="2"/>
        </w:rPr>
      </w:pPr>
    </w:p>
    <w:p w:rsidR="0035151A" w:rsidRPr="00FA789E" w:rsidRDefault="00BE2A9D" w:rsidP="00C84537">
      <w:pPr>
        <w:pStyle w:val="ListParagraph"/>
        <w:widowControl w:val="0"/>
        <w:tabs>
          <w:tab w:val="left" w:pos="0"/>
        </w:tabs>
        <w:ind w:left="1080" w:right="101"/>
        <w:contextualSpacing/>
        <w:jc w:val="both"/>
        <w:rPr>
          <w:kern w:val="2"/>
        </w:rPr>
      </w:pPr>
      <w:r w:rsidRPr="00FA789E">
        <w:rPr>
          <w:kern w:val="2"/>
        </w:rPr>
        <w:t>[</w:t>
      </w:r>
      <w:r w:rsidR="00B25B9C" w:rsidRPr="00FA789E">
        <w:rPr>
          <w:kern w:val="2"/>
        </w:rPr>
        <w:t>Note that t</w:t>
      </w:r>
      <w:r w:rsidRPr="00FA789E">
        <w:rPr>
          <w:kern w:val="2"/>
        </w:rPr>
        <w:t xml:space="preserve">he </w:t>
      </w:r>
      <w:r w:rsidR="00B25B9C" w:rsidRPr="00FA789E">
        <w:rPr>
          <w:kern w:val="2"/>
        </w:rPr>
        <w:t xml:space="preserve">health center’s </w:t>
      </w:r>
      <w:r w:rsidRPr="00FA789E">
        <w:rPr>
          <w:kern w:val="2"/>
        </w:rPr>
        <w:t xml:space="preserve">Board of Directors should determine what to include within the definition of “income.” The Census Bureau uses a standard definition of income for computing poverty statistics based on poverty thresholds that may be used by health centers. The Census Bureau includes the following as income: earnings, unemployment compensation, workers’ compensation, Social Security, </w:t>
      </w:r>
      <w:r w:rsidRPr="00FA789E">
        <w:rPr>
          <w:kern w:val="2"/>
        </w:rPr>
        <w:lastRenderedPageBreak/>
        <w:t>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Health centers may also want to consider definitions that are used by federal programs, such as those based on modified adjusted gross income (MAGI), as defined by HRSA.]</w:t>
      </w:r>
    </w:p>
    <w:p w:rsidR="00BE2A9D" w:rsidRPr="00FA789E" w:rsidRDefault="00BE2A9D" w:rsidP="004F1CAD">
      <w:pPr>
        <w:pStyle w:val="ListParagraph"/>
        <w:widowControl w:val="0"/>
        <w:tabs>
          <w:tab w:val="left" w:pos="0"/>
        </w:tabs>
        <w:ind w:left="0" w:right="101"/>
        <w:contextualSpacing/>
        <w:jc w:val="both"/>
        <w:rPr>
          <w:kern w:val="2"/>
        </w:rPr>
      </w:pPr>
    </w:p>
    <w:p w:rsidR="00045FC6" w:rsidRPr="00FA789E" w:rsidRDefault="00AE0FDB" w:rsidP="004F1CAD">
      <w:pPr>
        <w:pStyle w:val="ListParagraph"/>
        <w:widowControl w:val="0"/>
        <w:tabs>
          <w:tab w:val="left" w:pos="0"/>
        </w:tabs>
        <w:ind w:left="0" w:right="101"/>
        <w:contextualSpacing/>
        <w:jc w:val="both"/>
        <w:rPr>
          <w:b/>
          <w:kern w:val="2"/>
        </w:rPr>
      </w:pPr>
      <w:r w:rsidRPr="00FA789E">
        <w:rPr>
          <w:kern w:val="2"/>
        </w:rPr>
        <w:t>Household</w:t>
      </w:r>
      <w:r w:rsidR="0035151A" w:rsidRPr="00FA789E">
        <w:rPr>
          <w:kern w:val="2"/>
        </w:rPr>
        <w:t xml:space="preserve"> shall include the following:</w:t>
      </w:r>
    </w:p>
    <w:p w:rsidR="00D3575A" w:rsidRPr="00FA789E" w:rsidRDefault="00D3575A" w:rsidP="004F1CAD">
      <w:pPr>
        <w:jc w:val="both"/>
        <w:rPr>
          <w:b/>
          <w:kern w:val="2"/>
        </w:rPr>
      </w:pPr>
    </w:p>
    <w:p w:rsidR="00BE2A9D" w:rsidRPr="00FA789E" w:rsidRDefault="00BE2A9D" w:rsidP="00B52705">
      <w:pPr>
        <w:ind w:left="1080"/>
        <w:jc w:val="both"/>
        <w:rPr>
          <w:b/>
          <w:kern w:val="2"/>
        </w:rPr>
      </w:pPr>
      <w:r w:rsidRPr="00FA789E">
        <w:rPr>
          <w:kern w:val="2"/>
        </w:rPr>
        <w:t>[</w:t>
      </w:r>
      <w:r w:rsidR="00B25B9C" w:rsidRPr="00FA789E">
        <w:rPr>
          <w:kern w:val="2"/>
        </w:rPr>
        <w:t>Note that t</w:t>
      </w:r>
      <w:r w:rsidRPr="00FA789E">
        <w:rPr>
          <w:kern w:val="2"/>
        </w:rPr>
        <w:t xml:space="preserve">he </w:t>
      </w:r>
      <w:r w:rsidR="00B25B9C" w:rsidRPr="00FA789E">
        <w:rPr>
          <w:kern w:val="2"/>
        </w:rPr>
        <w:t xml:space="preserve">health center’s </w:t>
      </w:r>
      <w:r w:rsidRPr="00FA789E">
        <w:rPr>
          <w:kern w:val="2"/>
        </w:rPr>
        <w:t>Board of Directors should determine who to include within the definition of “household.” The Census Bureau states that non-relatives, such as housemates, do not count as members of the family. Typically “household” includes the head of household, spouse and dependents. The definition of dependent varies but is often tied to either the IRS rules or alternatively to those individuals the applicant is legally obligated to support.]</w:t>
      </w:r>
    </w:p>
    <w:p w:rsidR="00BE2A9D" w:rsidRPr="00FA789E" w:rsidRDefault="00BE2A9D" w:rsidP="00B52705">
      <w:pPr>
        <w:ind w:left="1080"/>
        <w:jc w:val="both"/>
        <w:rPr>
          <w:b/>
          <w:kern w:val="2"/>
        </w:rPr>
      </w:pPr>
    </w:p>
    <w:p w:rsidR="00834A09" w:rsidRPr="00FA789E" w:rsidRDefault="00D23474" w:rsidP="0030058A">
      <w:pPr>
        <w:tabs>
          <w:tab w:val="left" w:pos="360"/>
        </w:tabs>
        <w:jc w:val="both"/>
        <w:rPr>
          <w:kern w:val="2"/>
        </w:rPr>
      </w:pPr>
      <w:r w:rsidRPr="00FA789E">
        <w:rPr>
          <w:b/>
          <w:kern w:val="2"/>
        </w:rPr>
        <w:t>6</w:t>
      </w:r>
      <w:r w:rsidR="00443D6B" w:rsidRPr="00FA789E">
        <w:rPr>
          <w:b/>
          <w:kern w:val="2"/>
        </w:rPr>
        <w:t>.</w:t>
      </w:r>
      <w:r w:rsidR="0030058A" w:rsidRPr="00FA789E">
        <w:rPr>
          <w:kern w:val="2"/>
        </w:rPr>
        <w:tab/>
      </w:r>
      <w:r w:rsidR="00443D6B" w:rsidRPr="00FA789E">
        <w:rPr>
          <w:b/>
          <w:kern w:val="2"/>
        </w:rPr>
        <w:t>Eligibility</w:t>
      </w:r>
      <w:r w:rsidR="003977F7" w:rsidRPr="00FA789E">
        <w:rPr>
          <w:b/>
          <w:kern w:val="2"/>
        </w:rPr>
        <w:t xml:space="preserve"> d</w:t>
      </w:r>
      <w:r w:rsidR="008210A3" w:rsidRPr="00FA789E">
        <w:rPr>
          <w:b/>
          <w:kern w:val="2"/>
        </w:rPr>
        <w:t>ocumentation</w:t>
      </w:r>
      <w:r w:rsidR="00443D6B" w:rsidRPr="00FA789E">
        <w:rPr>
          <w:b/>
          <w:kern w:val="2"/>
        </w:rPr>
        <w:t>.</w:t>
      </w:r>
      <w:r w:rsidR="00443D6B" w:rsidRPr="00FA789E">
        <w:rPr>
          <w:kern w:val="2"/>
        </w:rPr>
        <w:t xml:space="preserve"> The </w:t>
      </w:r>
      <w:r w:rsidR="00443D6B" w:rsidRPr="00FA789E">
        <w:rPr>
          <w:i/>
          <w:kern w:val="2"/>
        </w:rPr>
        <w:t>[</w:t>
      </w:r>
      <w:r w:rsidR="00F018BB" w:rsidRPr="00FA789E">
        <w:rPr>
          <w:i/>
          <w:kern w:val="2"/>
        </w:rPr>
        <w:t>financial cou</w:t>
      </w:r>
      <w:r w:rsidR="002D5AC5" w:rsidRPr="00FA789E">
        <w:rPr>
          <w:i/>
          <w:kern w:val="2"/>
        </w:rPr>
        <w:t>nselor / financial case manager</w:t>
      </w:r>
      <w:r w:rsidR="00443D6B" w:rsidRPr="00FA789E">
        <w:rPr>
          <w:i/>
          <w:kern w:val="2"/>
        </w:rPr>
        <w:t>]</w:t>
      </w:r>
      <w:r w:rsidR="00443D6B" w:rsidRPr="00FA789E">
        <w:rPr>
          <w:kern w:val="2"/>
        </w:rPr>
        <w:t xml:space="preserve"> will assist patients</w:t>
      </w:r>
      <w:r w:rsidR="008210A3" w:rsidRPr="00FA789E">
        <w:rPr>
          <w:kern w:val="2"/>
        </w:rPr>
        <w:t xml:space="preserve"> </w:t>
      </w:r>
      <w:r w:rsidR="00443D6B" w:rsidRPr="00FA789E">
        <w:rPr>
          <w:kern w:val="2"/>
        </w:rPr>
        <w:t xml:space="preserve">in completing an </w:t>
      </w:r>
      <w:r w:rsidR="008210A3" w:rsidRPr="00FA789E">
        <w:rPr>
          <w:i/>
          <w:kern w:val="2"/>
        </w:rPr>
        <w:t>[</w:t>
      </w:r>
      <w:r w:rsidR="00443D6B" w:rsidRPr="00FA789E">
        <w:rPr>
          <w:i/>
          <w:kern w:val="2"/>
        </w:rPr>
        <w:t>income verification form</w:t>
      </w:r>
      <w:r w:rsidR="008210A3" w:rsidRPr="00FA789E">
        <w:rPr>
          <w:i/>
          <w:kern w:val="2"/>
        </w:rPr>
        <w:t>]</w:t>
      </w:r>
      <w:r w:rsidR="00443D6B" w:rsidRPr="00FA789E">
        <w:rPr>
          <w:kern w:val="2"/>
        </w:rPr>
        <w:t xml:space="preserve"> and will collect any relevant income verification documentation from patients.</w:t>
      </w:r>
      <w:r w:rsidR="007C7723" w:rsidRPr="00FA789E">
        <w:rPr>
          <w:kern w:val="2"/>
        </w:rPr>
        <w:t xml:space="preserve"> </w:t>
      </w:r>
    </w:p>
    <w:p w:rsidR="00834A09" w:rsidRPr="00FA789E" w:rsidRDefault="00834A09" w:rsidP="0030058A">
      <w:pPr>
        <w:tabs>
          <w:tab w:val="left" w:pos="360"/>
        </w:tabs>
        <w:jc w:val="both"/>
        <w:rPr>
          <w:kern w:val="2"/>
        </w:rPr>
      </w:pPr>
    </w:p>
    <w:p w:rsidR="00834A09" w:rsidRPr="00FA789E" w:rsidRDefault="00834A09" w:rsidP="00B52705">
      <w:pPr>
        <w:ind w:left="1080"/>
        <w:jc w:val="both"/>
        <w:rPr>
          <w:kern w:val="2"/>
        </w:rPr>
      </w:pPr>
      <w:r w:rsidRPr="00FA789E">
        <w:rPr>
          <w:kern w:val="2"/>
        </w:rPr>
        <w:t>[</w:t>
      </w:r>
      <w:r w:rsidR="00B25B9C" w:rsidRPr="00FA789E">
        <w:rPr>
          <w:kern w:val="2"/>
        </w:rPr>
        <w:t>Note that i</w:t>
      </w:r>
      <w:r w:rsidRPr="00FA789E">
        <w:rPr>
          <w:kern w:val="2"/>
        </w:rPr>
        <w:t>ncome verification and other application forms must not request information that could result in a barrier to care. Examples of information requests which could result in a barrier to care include asking patients for information that indicates citizenship or a definition of income different from what HRSA allows.]</w:t>
      </w:r>
    </w:p>
    <w:p w:rsidR="00834A09" w:rsidRPr="00FA789E" w:rsidRDefault="00834A09" w:rsidP="0030058A">
      <w:pPr>
        <w:tabs>
          <w:tab w:val="left" w:pos="360"/>
        </w:tabs>
        <w:jc w:val="both"/>
        <w:rPr>
          <w:kern w:val="2"/>
        </w:rPr>
      </w:pPr>
    </w:p>
    <w:p w:rsidR="00CA0E58" w:rsidRPr="00FA789E" w:rsidRDefault="00F018BB" w:rsidP="0030058A">
      <w:pPr>
        <w:tabs>
          <w:tab w:val="left" w:pos="360"/>
        </w:tabs>
        <w:jc w:val="both"/>
        <w:rPr>
          <w:kern w:val="2"/>
        </w:rPr>
      </w:pPr>
      <w:r w:rsidRPr="00FA789E">
        <w:rPr>
          <w:kern w:val="2"/>
        </w:rPr>
        <w:t>Whenever possible, c</w:t>
      </w:r>
      <w:r w:rsidR="00443D6B" w:rsidRPr="00FA789E">
        <w:rPr>
          <w:kern w:val="2"/>
        </w:rPr>
        <w:t xml:space="preserve">ompletion of the </w:t>
      </w:r>
      <w:r w:rsidR="008210A3" w:rsidRPr="00FA789E">
        <w:rPr>
          <w:i/>
          <w:kern w:val="2"/>
        </w:rPr>
        <w:t>[</w:t>
      </w:r>
      <w:r w:rsidR="00443D6B" w:rsidRPr="00FA789E">
        <w:rPr>
          <w:i/>
          <w:kern w:val="2"/>
        </w:rPr>
        <w:t>income verification</w:t>
      </w:r>
      <w:r w:rsidR="008210A3" w:rsidRPr="00FA789E">
        <w:rPr>
          <w:i/>
          <w:kern w:val="2"/>
        </w:rPr>
        <w:t>]</w:t>
      </w:r>
      <w:r w:rsidR="00443D6B" w:rsidRPr="00FA789E">
        <w:rPr>
          <w:kern w:val="2"/>
        </w:rPr>
        <w:t xml:space="preserve"> form and collection of income verification documentation will occur prior to Health Center’s rendering health care services to the patient</w:t>
      </w:r>
      <w:r w:rsidR="008210A3" w:rsidRPr="00FA789E">
        <w:rPr>
          <w:kern w:val="2"/>
        </w:rPr>
        <w:t xml:space="preserve">, or as soon thereafter as is reasonable, but always prior to the application of the </w:t>
      </w:r>
      <w:r w:rsidRPr="00FA789E">
        <w:rPr>
          <w:kern w:val="2"/>
        </w:rPr>
        <w:t>discount</w:t>
      </w:r>
      <w:r w:rsidR="008210A3" w:rsidRPr="00FA789E">
        <w:rPr>
          <w:kern w:val="2"/>
        </w:rPr>
        <w:t>.</w:t>
      </w:r>
      <w:r w:rsidRPr="00FA789E">
        <w:rPr>
          <w:kern w:val="2"/>
        </w:rPr>
        <w:t xml:space="preserve"> Nonetheless, under </w:t>
      </w:r>
      <w:r w:rsidRPr="00FA789E">
        <w:rPr>
          <w:kern w:val="2"/>
          <w:u w:val="single"/>
        </w:rPr>
        <w:t>no circumstances</w:t>
      </w:r>
      <w:r w:rsidRPr="00FA789E">
        <w:rPr>
          <w:kern w:val="2"/>
        </w:rPr>
        <w:t xml:space="preserve"> will health care services be withheld or denied on account of delay of the eligibility documentation process.</w:t>
      </w:r>
      <w:r w:rsidR="007C7723" w:rsidRPr="00FA789E">
        <w:rPr>
          <w:kern w:val="2"/>
        </w:rPr>
        <w:t xml:space="preserve"> </w:t>
      </w:r>
    </w:p>
    <w:p w:rsidR="00CA0E58" w:rsidRPr="00FA789E" w:rsidRDefault="00CA0E58" w:rsidP="0030058A">
      <w:pPr>
        <w:tabs>
          <w:tab w:val="left" w:pos="360"/>
        </w:tabs>
        <w:jc w:val="both"/>
        <w:rPr>
          <w:kern w:val="2"/>
        </w:rPr>
      </w:pPr>
    </w:p>
    <w:p w:rsidR="00443D6B" w:rsidRPr="00FA789E" w:rsidRDefault="008210A3" w:rsidP="0030058A">
      <w:pPr>
        <w:tabs>
          <w:tab w:val="left" w:pos="360"/>
        </w:tabs>
        <w:jc w:val="both"/>
        <w:rPr>
          <w:kern w:val="2"/>
        </w:rPr>
      </w:pPr>
      <w:r w:rsidRPr="00FA789E">
        <w:rPr>
          <w:kern w:val="2"/>
        </w:rPr>
        <w:t>New</w:t>
      </w:r>
      <w:r w:rsidR="008C205E" w:rsidRPr="00FA789E">
        <w:rPr>
          <w:kern w:val="2"/>
        </w:rPr>
        <w:t xml:space="preserve"> </w:t>
      </w:r>
      <w:r w:rsidRPr="00FA789E">
        <w:rPr>
          <w:i/>
          <w:kern w:val="2"/>
        </w:rPr>
        <w:t>[income verification]</w:t>
      </w:r>
      <w:r w:rsidRPr="00FA789E">
        <w:rPr>
          <w:kern w:val="2"/>
        </w:rPr>
        <w:t xml:space="preserve"> forms and </w:t>
      </w:r>
      <w:r w:rsidR="0073400E" w:rsidRPr="00FA789E">
        <w:rPr>
          <w:kern w:val="2"/>
        </w:rPr>
        <w:t xml:space="preserve">the </w:t>
      </w:r>
      <w:r w:rsidRPr="00FA789E">
        <w:rPr>
          <w:kern w:val="2"/>
        </w:rPr>
        <w:t xml:space="preserve">collection of </w:t>
      </w:r>
      <w:r w:rsidR="00E47E97" w:rsidRPr="00FA789E">
        <w:rPr>
          <w:kern w:val="2"/>
        </w:rPr>
        <w:t xml:space="preserve">relevant </w:t>
      </w:r>
      <w:r w:rsidRPr="00FA789E">
        <w:rPr>
          <w:kern w:val="2"/>
        </w:rPr>
        <w:t>income verification documentation will be required of patients on an annual basis or more frequently (</w:t>
      </w:r>
      <w:r w:rsidRPr="00FA789E">
        <w:rPr>
          <w:kern w:val="2"/>
          <w:u w:val="single"/>
        </w:rPr>
        <w:t>e.g.</w:t>
      </w:r>
      <w:r w:rsidRPr="00FA789E">
        <w:rPr>
          <w:kern w:val="2"/>
        </w:rPr>
        <w:t>, upon a significant change in the patient’s income status).</w:t>
      </w:r>
      <w:r w:rsidR="000D5E2D" w:rsidRPr="00FA789E">
        <w:rPr>
          <w:kern w:val="2"/>
        </w:rPr>
        <w:t xml:space="preserve"> Copies of a</w:t>
      </w:r>
      <w:r w:rsidRPr="00FA789E">
        <w:rPr>
          <w:kern w:val="2"/>
        </w:rPr>
        <w:t xml:space="preserve">ll </w:t>
      </w:r>
      <w:r w:rsidRPr="00FA789E">
        <w:rPr>
          <w:i/>
          <w:kern w:val="2"/>
        </w:rPr>
        <w:t>[income verification]</w:t>
      </w:r>
      <w:r w:rsidRPr="00FA789E">
        <w:rPr>
          <w:kern w:val="2"/>
        </w:rPr>
        <w:t xml:space="preserve"> forms and</w:t>
      </w:r>
      <w:r w:rsidR="00E47E97" w:rsidRPr="00FA789E">
        <w:rPr>
          <w:kern w:val="2"/>
        </w:rPr>
        <w:t xml:space="preserve"> relevant</w:t>
      </w:r>
      <w:r w:rsidRPr="00FA789E">
        <w:rPr>
          <w:kern w:val="2"/>
        </w:rPr>
        <w:t xml:space="preserve"> income verification documentation will be </w:t>
      </w:r>
      <w:r w:rsidR="000D5E2D" w:rsidRPr="00FA789E">
        <w:rPr>
          <w:kern w:val="2"/>
        </w:rPr>
        <w:t>retained</w:t>
      </w:r>
      <w:r w:rsidRPr="00FA789E">
        <w:rPr>
          <w:kern w:val="2"/>
        </w:rPr>
        <w:t xml:space="preserve"> by Health Center according to Health Center’s established document retention schedule.</w:t>
      </w:r>
    </w:p>
    <w:p w:rsidR="00834A09" w:rsidRPr="00FA789E" w:rsidRDefault="00834A09" w:rsidP="0030058A">
      <w:pPr>
        <w:tabs>
          <w:tab w:val="left" w:pos="360"/>
        </w:tabs>
        <w:jc w:val="both"/>
        <w:rPr>
          <w:kern w:val="2"/>
        </w:rPr>
      </w:pPr>
    </w:p>
    <w:p w:rsidR="00834A09" w:rsidRPr="00FA789E" w:rsidRDefault="00834A09" w:rsidP="00B52705">
      <w:pPr>
        <w:tabs>
          <w:tab w:val="left" w:pos="360"/>
        </w:tabs>
        <w:ind w:left="1080"/>
        <w:jc w:val="both"/>
        <w:rPr>
          <w:kern w:val="2"/>
        </w:rPr>
      </w:pPr>
      <w:r w:rsidRPr="00FA789E">
        <w:rPr>
          <w:kern w:val="2"/>
        </w:rPr>
        <w:t>[</w:t>
      </w:r>
      <w:r w:rsidR="008C205E" w:rsidRPr="00FA789E">
        <w:rPr>
          <w:kern w:val="2"/>
        </w:rPr>
        <w:t>Note that</w:t>
      </w:r>
      <w:r w:rsidRPr="00FA789E">
        <w:rPr>
          <w:kern w:val="2"/>
        </w:rPr>
        <w:t xml:space="preserve"> health center</w:t>
      </w:r>
      <w:r w:rsidR="008C205E" w:rsidRPr="00FA789E">
        <w:rPr>
          <w:kern w:val="2"/>
        </w:rPr>
        <w:t>s</w:t>
      </w:r>
      <w:r w:rsidRPr="00FA789E">
        <w:rPr>
          <w:kern w:val="2"/>
        </w:rPr>
        <w:t xml:space="preserve"> may wish to include a process allowing for a patient to submit a self-declaration regarding their income and/or family size in the event the patient is unable to present the requisite documentation. Any such arrangement must be set forth in policy, applied uniformly to all patients and approved by the Board.]</w:t>
      </w:r>
    </w:p>
    <w:p w:rsidR="002A3564" w:rsidRPr="00FA789E" w:rsidRDefault="002A3564" w:rsidP="004F1CAD">
      <w:pPr>
        <w:jc w:val="both"/>
        <w:rPr>
          <w:kern w:val="2"/>
        </w:rPr>
      </w:pPr>
    </w:p>
    <w:p w:rsidR="002A3564" w:rsidRPr="00FA789E" w:rsidRDefault="002A3564" w:rsidP="004F1CAD">
      <w:pPr>
        <w:jc w:val="both"/>
        <w:rPr>
          <w:kern w:val="2"/>
        </w:rPr>
      </w:pPr>
      <w:r w:rsidRPr="00FA789E">
        <w:rPr>
          <w:kern w:val="2"/>
        </w:rPr>
        <w:lastRenderedPageBreak/>
        <w:t xml:space="preserve">The eligibility determination process will be conducted in an efficient, respectful, and culturally appropriate manner. </w:t>
      </w:r>
    </w:p>
    <w:p w:rsidR="008210A3" w:rsidRPr="00FA789E" w:rsidRDefault="008210A3" w:rsidP="004F1CAD">
      <w:pPr>
        <w:jc w:val="both"/>
        <w:rPr>
          <w:kern w:val="2"/>
        </w:rPr>
      </w:pPr>
    </w:p>
    <w:p w:rsidR="00443D6B" w:rsidRPr="00FA789E" w:rsidRDefault="00D23474" w:rsidP="0030058A">
      <w:pPr>
        <w:tabs>
          <w:tab w:val="left" w:pos="360"/>
        </w:tabs>
        <w:jc w:val="both"/>
        <w:rPr>
          <w:kern w:val="2"/>
        </w:rPr>
      </w:pPr>
      <w:r w:rsidRPr="00FA789E">
        <w:rPr>
          <w:b/>
          <w:kern w:val="2"/>
        </w:rPr>
        <w:t>7</w:t>
      </w:r>
      <w:r w:rsidR="008210A3" w:rsidRPr="00FA789E">
        <w:rPr>
          <w:b/>
          <w:kern w:val="2"/>
        </w:rPr>
        <w:t>.</w:t>
      </w:r>
      <w:r w:rsidR="0030058A" w:rsidRPr="00FA789E">
        <w:rPr>
          <w:b/>
          <w:kern w:val="2"/>
        </w:rPr>
        <w:tab/>
      </w:r>
      <w:r w:rsidR="00A80E84" w:rsidRPr="00FA789E">
        <w:rPr>
          <w:b/>
          <w:kern w:val="2"/>
        </w:rPr>
        <w:t xml:space="preserve">Billing: </w:t>
      </w:r>
      <w:r w:rsidR="003977F7" w:rsidRPr="00FA789E">
        <w:rPr>
          <w:b/>
          <w:kern w:val="2"/>
        </w:rPr>
        <w:t>A</w:t>
      </w:r>
      <w:r w:rsidR="008210A3" w:rsidRPr="00FA789E">
        <w:rPr>
          <w:b/>
          <w:kern w:val="2"/>
        </w:rPr>
        <w:t xml:space="preserve">pplication of </w:t>
      </w:r>
      <w:r w:rsidR="003977F7" w:rsidRPr="00FA789E">
        <w:rPr>
          <w:b/>
          <w:kern w:val="2"/>
        </w:rPr>
        <w:t>d</w:t>
      </w:r>
      <w:r w:rsidR="00A926BF" w:rsidRPr="00FA789E">
        <w:rPr>
          <w:b/>
          <w:kern w:val="2"/>
        </w:rPr>
        <w:t>iscounts</w:t>
      </w:r>
      <w:r w:rsidR="008210A3" w:rsidRPr="00FA789E">
        <w:rPr>
          <w:b/>
          <w:kern w:val="2"/>
        </w:rPr>
        <w:t>.</w:t>
      </w:r>
      <w:r w:rsidR="008210A3" w:rsidRPr="00FA789E">
        <w:rPr>
          <w:kern w:val="2"/>
        </w:rPr>
        <w:t xml:space="preserve"> Patients who have completed a</w:t>
      </w:r>
      <w:r w:rsidR="00F94A7E" w:rsidRPr="00FA789E">
        <w:rPr>
          <w:kern w:val="2"/>
        </w:rPr>
        <w:t>n</w:t>
      </w:r>
      <w:r w:rsidR="008210A3" w:rsidRPr="00FA789E">
        <w:rPr>
          <w:kern w:val="2"/>
        </w:rPr>
        <w:t xml:space="preserve"> </w:t>
      </w:r>
      <w:r w:rsidR="008210A3" w:rsidRPr="00FA789E">
        <w:rPr>
          <w:i/>
          <w:kern w:val="2"/>
        </w:rPr>
        <w:t>[income verification]</w:t>
      </w:r>
      <w:r w:rsidR="008210A3" w:rsidRPr="00FA789E">
        <w:rPr>
          <w:kern w:val="2"/>
        </w:rPr>
        <w:t xml:space="preserve"> form</w:t>
      </w:r>
      <w:r w:rsidR="00F94A7E" w:rsidRPr="00FA789E">
        <w:rPr>
          <w:kern w:val="2"/>
        </w:rPr>
        <w:t xml:space="preserve">, </w:t>
      </w:r>
      <w:r w:rsidR="008210A3" w:rsidRPr="00FA789E">
        <w:rPr>
          <w:kern w:val="2"/>
        </w:rPr>
        <w:t xml:space="preserve">have submitted </w:t>
      </w:r>
      <w:r w:rsidR="0040435E" w:rsidRPr="00FA789E">
        <w:rPr>
          <w:kern w:val="2"/>
        </w:rPr>
        <w:t xml:space="preserve">relevant </w:t>
      </w:r>
      <w:r w:rsidR="008210A3" w:rsidRPr="00FA789E">
        <w:rPr>
          <w:kern w:val="2"/>
        </w:rPr>
        <w:t xml:space="preserve">income verification documentation, and who have been found based on their </w:t>
      </w:r>
      <w:r w:rsidR="008210A3" w:rsidRPr="00FA789E">
        <w:rPr>
          <w:i/>
          <w:kern w:val="2"/>
        </w:rPr>
        <w:t>[income verification]</w:t>
      </w:r>
      <w:r w:rsidR="008210A3" w:rsidRPr="00FA789E">
        <w:rPr>
          <w:kern w:val="2"/>
        </w:rPr>
        <w:t xml:space="preserve"> form and </w:t>
      </w:r>
      <w:r w:rsidR="0040435E" w:rsidRPr="00FA789E">
        <w:rPr>
          <w:kern w:val="2"/>
        </w:rPr>
        <w:t xml:space="preserve">relevant </w:t>
      </w:r>
      <w:r w:rsidR="008210A3" w:rsidRPr="00FA789E">
        <w:rPr>
          <w:kern w:val="2"/>
        </w:rPr>
        <w:t>income verification documentation to be eligible for a discount will be charged in accordance with the sliding fee scale</w:t>
      </w:r>
      <w:r w:rsidR="00F018BB" w:rsidRPr="00FA789E">
        <w:rPr>
          <w:kern w:val="2"/>
        </w:rPr>
        <w:t xml:space="preserve"> or nominal </w:t>
      </w:r>
      <w:r w:rsidR="001B3759" w:rsidRPr="00FA789E">
        <w:rPr>
          <w:kern w:val="2"/>
        </w:rPr>
        <w:t>charge</w:t>
      </w:r>
      <w:r w:rsidR="000E4380" w:rsidRPr="00FA789E">
        <w:rPr>
          <w:kern w:val="2"/>
        </w:rPr>
        <w:t>,</w:t>
      </w:r>
      <w:r w:rsidR="0075254B" w:rsidRPr="00FA789E">
        <w:rPr>
          <w:kern w:val="2"/>
        </w:rPr>
        <w:t xml:space="preserve"> as applicable</w:t>
      </w:r>
      <w:r w:rsidR="00557202" w:rsidRPr="00FA789E">
        <w:rPr>
          <w:kern w:val="2"/>
        </w:rPr>
        <w:t>.</w:t>
      </w:r>
    </w:p>
    <w:p w:rsidR="00321D64" w:rsidRPr="00FA789E" w:rsidRDefault="00321D64" w:rsidP="004F1CAD">
      <w:pPr>
        <w:jc w:val="both"/>
        <w:rPr>
          <w:kern w:val="2"/>
        </w:rPr>
      </w:pPr>
    </w:p>
    <w:p w:rsidR="00321D64" w:rsidRPr="00FA789E" w:rsidRDefault="00321D64" w:rsidP="004F1CAD">
      <w:pPr>
        <w:jc w:val="both"/>
        <w:rPr>
          <w:kern w:val="2"/>
        </w:rPr>
      </w:pPr>
      <w:r w:rsidRPr="00FA789E">
        <w:rPr>
          <w:kern w:val="2"/>
        </w:rPr>
        <w:t xml:space="preserve">The maximum charge for an insured patient who </w:t>
      </w:r>
      <w:r w:rsidR="00E36CA6" w:rsidRPr="00FA789E">
        <w:rPr>
          <w:kern w:val="2"/>
        </w:rPr>
        <w:t xml:space="preserve">is eligible for the </w:t>
      </w:r>
      <w:r w:rsidR="00D10963" w:rsidRPr="00FA789E">
        <w:rPr>
          <w:kern w:val="2"/>
        </w:rPr>
        <w:t>sliding fee discount schedule</w:t>
      </w:r>
      <w:r w:rsidR="00E36CA6" w:rsidRPr="00FA789E">
        <w:rPr>
          <w:kern w:val="2"/>
        </w:rPr>
        <w:t xml:space="preserve"> will be the maximum amount an eligible patient in that pay class is required to pay for that certain service, subject to Health Center’s legal and contractual limitations. </w:t>
      </w:r>
    </w:p>
    <w:p w:rsidR="00E84185" w:rsidRPr="00FA789E" w:rsidRDefault="00E84185" w:rsidP="004F1CAD">
      <w:pPr>
        <w:jc w:val="both"/>
        <w:rPr>
          <w:kern w:val="2"/>
        </w:rPr>
      </w:pPr>
    </w:p>
    <w:p w:rsidR="0097182C" w:rsidRPr="00FA789E" w:rsidRDefault="00C62ADB" w:rsidP="00B52705">
      <w:pPr>
        <w:ind w:left="1080"/>
        <w:jc w:val="both"/>
        <w:rPr>
          <w:kern w:val="2"/>
        </w:rPr>
      </w:pPr>
      <w:r w:rsidRPr="00FA789E">
        <w:rPr>
          <w:kern w:val="2"/>
        </w:rPr>
        <w:t>[</w:t>
      </w:r>
      <w:r w:rsidR="008C205E" w:rsidRPr="00FA789E">
        <w:rPr>
          <w:kern w:val="2"/>
        </w:rPr>
        <w:t>Note that h</w:t>
      </w:r>
      <w:r w:rsidR="0097182C" w:rsidRPr="00FA789E">
        <w:rPr>
          <w:kern w:val="2"/>
        </w:rPr>
        <w:t>ealth centers may serve patients with third party insurance that does not cover or only partially covers fees for certain health center services. These patients may also be eligible for the sliding fee discount schedule based on income and family size. In such cases, subject to potential legal and contractual limitations, the charge for each sliding fee discount schedule pay class is the maximum amount an eligible patient in that pay class is required to pay for a certain service, regardless of insurance status.</w:t>
      </w:r>
      <w:r w:rsidRPr="00FA789E">
        <w:rPr>
          <w:kern w:val="2"/>
        </w:rPr>
        <w:t>]</w:t>
      </w:r>
    </w:p>
    <w:p w:rsidR="0097182C" w:rsidRPr="00FA789E" w:rsidRDefault="0097182C" w:rsidP="004F1CAD">
      <w:pPr>
        <w:jc w:val="both"/>
        <w:rPr>
          <w:kern w:val="2"/>
        </w:rPr>
      </w:pPr>
    </w:p>
    <w:p w:rsidR="00E84185" w:rsidRPr="00FA789E" w:rsidRDefault="00D23474" w:rsidP="00C217AA">
      <w:pPr>
        <w:tabs>
          <w:tab w:val="left" w:pos="360"/>
        </w:tabs>
        <w:jc w:val="both"/>
        <w:rPr>
          <w:kern w:val="2"/>
        </w:rPr>
      </w:pPr>
      <w:r w:rsidRPr="00FA789E">
        <w:rPr>
          <w:b/>
          <w:kern w:val="2"/>
        </w:rPr>
        <w:t>8</w:t>
      </w:r>
      <w:r w:rsidR="00E84185" w:rsidRPr="00FA789E">
        <w:rPr>
          <w:b/>
          <w:kern w:val="2"/>
        </w:rPr>
        <w:t>.</w:t>
      </w:r>
      <w:r w:rsidR="00C217AA" w:rsidRPr="00FA789E">
        <w:rPr>
          <w:b/>
          <w:kern w:val="2"/>
        </w:rPr>
        <w:tab/>
      </w:r>
      <w:r w:rsidR="00E84185" w:rsidRPr="00FA789E">
        <w:rPr>
          <w:b/>
          <w:kern w:val="2"/>
        </w:rPr>
        <w:t xml:space="preserve">Collections. </w:t>
      </w:r>
      <w:r w:rsidR="00E84185" w:rsidRPr="00FA789E">
        <w:rPr>
          <w:kern w:val="2"/>
        </w:rPr>
        <w:t>Health Center shall make a reasonable effort to collect all charges for health care services rendered, regardless of whether discounted charges or standard cha</w:t>
      </w:r>
      <w:r w:rsidR="008C205E" w:rsidRPr="00FA789E">
        <w:rPr>
          <w:kern w:val="2"/>
        </w:rPr>
        <w:t>r</w:t>
      </w:r>
      <w:r w:rsidR="00E84185" w:rsidRPr="00FA789E">
        <w:rPr>
          <w:kern w:val="2"/>
        </w:rPr>
        <w:t>ges are applied.</w:t>
      </w:r>
      <w:r w:rsidR="007C7723" w:rsidRPr="00FA789E">
        <w:rPr>
          <w:kern w:val="2"/>
        </w:rPr>
        <w:t xml:space="preserve"> </w:t>
      </w:r>
      <w:r w:rsidR="00E84185" w:rsidRPr="00FA789E">
        <w:rPr>
          <w:kern w:val="2"/>
        </w:rPr>
        <w:t>A reasonable effort may include, but is not limited to, issuance of a bill to the patient or responsible party and follow-up with subsequent billing, collection letters, and telephone calls.</w:t>
      </w:r>
      <w:r w:rsidR="007C7723" w:rsidRPr="00FA789E">
        <w:rPr>
          <w:kern w:val="2"/>
        </w:rPr>
        <w:t xml:space="preserve"> </w:t>
      </w:r>
      <w:r w:rsidR="008B6A91" w:rsidRPr="00FA789E">
        <w:rPr>
          <w:kern w:val="2"/>
        </w:rPr>
        <w:t>A patient’s refusal to pay does not equate to an inability to pay.</w:t>
      </w:r>
    </w:p>
    <w:p w:rsidR="00833AD3" w:rsidRPr="00FA789E" w:rsidRDefault="00833AD3" w:rsidP="00C217AA">
      <w:pPr>
        <w:tabs>
          <w:tab w:val="left" w:pos="360"/>
        </w:tabs>
        <w:jc w:val="both"/>
        <w:rPr>
          <w:kern w:val="2"/>
        </w:rPr>
      </w:pPr>
    </w:p>
    <w:p w:rsidR="008C205E" w:rsidRPr="00FA789E" w:rsidRDefault="00833AD3" w:rsidP="00B52705">
      <w:pPr>
        <w:tabs>
          <w:tab w:val="left" w:pos="360"/>
        </w:tabs>
        <w:ind w:left="1080"/>
        <w:jc w:val="both"/>
        <w:rPr>
          <w:kern w:val="2"/>
        </w:rPr>
      </w:pPr>
      <w:r w:rsidRPr="00FA789E">
        <w:rPr>
          <w:kern w:val="2"/>
        </w:rPr>
        <w:t>[</w:t>
      </w:r>
      <w:r w:rsidR="008C205E" w:rsidRPr="00FA789E">
        <w:rPr>
          <w:kern w:val="2"/>
        </w:rPr>
        <w:t>Note that t</w:t>
      </w:r>
      <w:r w:rsidRPr="00FA789E">
        <w:rPr>
          <w:kern w:val="2"/>
        </w:rPr>
        <w:t>he collections process should be set forth with greater specificity in this policy or a separate policy that should be referenced here. For example, the policy should specify if the health center’s billing and collections processes include payment incentives, grace periods, payment plans, or refusal to pay guidelines.</w:t>
      </w:r>
      <w:r w:rsidR="008C205E" w:rsidRPr="00FA789E">
        <w:rPr>
          <w:kern w:val="2"/>
        </w:rPr>
        <w:t>]</w:t>
      </w:r>
    </w:p>
    <w:p w:rsidR="008C205E" w:rsidRPr="00FA789E" w:rsidRDefault="008C205E" w:rsidP="00B52705">
      <w:pPr>
        <w:tabs>
          <w:tab w:val="left" w:pos="360"/>
        </w:tabs>
        <w:ind w:left="1080"/>
        <w:jc w:val="both"/>
        <w:rPr>
          <w:kern w:val="2"/>
        </w:rPr>
      </w:pPr>
    </w:p>
    <w:p w:rsidR="00833AD3" w:rsidRPr="00FA789E" w:rsidRDefault="008C205E" w:rsidP="00B52705">
      <w:pPr>
        <w:tabs>
          <w:tab w:val="left" w:pos="360"/>
        </w:tabs>
        <w:ind w:left="1080"/>
        <w:jc w:val="both"/>
        <w:rPr>
          <w:kern w:val="2"/>
        </w:rPr>
      </w:pPr>
      <w:r w:rsidRPr="00FA789E">
        <w:rPr>
          <w:kern w:val="2"/>
        </w:rPr>
        <w:t>[Note that</w:t>
      </w:r>
      <w:r w:rsidR="00833AD3" w:rsidRPr="00FA789E">
        <w:rPr>
          <w:kern w:val="2"/>
        </w:rPr>
        <w:t xml:space="preserve"> if the health center has a separate policy for terminating a patient due to refusal (or unwillingness) to pay, such policy should be referenced here.</w:t>
      </w:r>
      <w:r w:rsidR="00133C2E" w:rsidRPr="00FA789E">
        <w:rPr>
          <w:kern w:val="2"/>
        </w:rPr>
        <w:t xml:space="preserve"> If the health center reserves the right to terminate patients for unwillingness to pay, the health center must establish operating procedures that define what constitutes “refusal to pay”; what individual circumstances are to be considered in making such determinations; and what collection efforts/enforcement steps are to be taken when these situations occur (e.g., offering grace periods, establishing payment plans, meeting with a financial counsel). The policy should also set forth that discharging patients for refusal to pay will be an action of last resort taken only after reasonable efforts have been made to secure payments and/or bill for amounts owed to the health </w:t>
      </w:r>
      <w:r w:rsidR="00133C2E" w:rsidRPr="00FA789E">
        <w:rPr>
          <w:kern w:val="2"/>
        </w:rPr>
        <w:lastRenderedPageBreak/>
        <w:t>center for services provided, and that the health center will document all steps taken to secure payment from the patient prior to discharging.</w:t>
      </w:r>
      <w:r w:rsidR="00833AD3" w:rsidRPr="00FA789E">
        <w:rPr>
          <w:kern w:val="2"/>
        </w:rPr>
        <w:t xml:space="preserve">] </w:t>
      </w:r>
    </w:p>
    <w:p w:rsidR="00520CD5" w:rsidRPr="00FA789E" w:rsidRDefault="00520CD5" w:rsidP="004F1CAD">
      <w:pPr>
        <w:jc w:val="both"/>
        <w:rPr>
          <w:kern w:val="2"/>
        </w:rPr>
      </w:pPr>
    </w:p>
    <w:p w:rsidR="00520CD5" w:rsidRPr="00FA789E" w:rsidRDefault="00520CD5" w:rsidP="004F1CAD">
      <w:pPr>
        <w:jc w:val="both"/>
        <w:rPr>
          <w:kern w:val="2"/>
        </w:rPr>
      </w:pPr>
      <w:r w:rsidRPr="00FA789E">
        <w:rPr>
          <w:kern w:val="2"/>
        </w:rPr>
        <w:t>The act of collecting from patients should be conducted in an efficient, respectful and culturally appropriate manner, assuring that procedures do not present a barrier to care and patient privacy and confidentiality are protected throughout the process.</w:t>
      </w:r>
    </w:p>
    <w:p w:rsidR="00300EC8" w:rsidRPr="00FA789E" w:rsidRDefault="00300EC8" w:rsidP="004F1CAD">
      <w:pPr>
        <w:tabs>
          <w:tab w:val="left" w:pos="720"/>
        </w:tabs>
        <w:ind w:left="720" w:hanging="360"/>
        <w:jc w:val="both"/>
        <w:rPr>
          <w:kern w:val="2"/>
        </w:rPr>
      </w:pPr>
    </w:p>
    <w:p w:rsidR="00300EC8" w:rsidRPr="00FA789E" w:rsidRDefault="00D23474" w:rsidP="00C217AA">
      <w:pPr>
        <w:tabs>
          <w:tab w:val="left" w:pos="360"/>
        </w:tabs>
        <w:jc w:val="both"/>
        <w:rPr>
          <w:kern w:val="2"/>
        </w:rPr>
      </w:pPr>
      <w:r w:rsidRPr="00FA789E">
        <w:rPr>
          <w:b/>
          <w:kern w:val="2"/>
        </w:rPr>
        <w:t>9</w:t>
      </w:r>
      <w:r w:rsidR="003977F7" w:rsidRPr="00FA789E">
        <w:rPr>
          <w:b/>
          <w:kern w:val="2"/>
        </w:rPr>
        <w:t>.</w:t>
      </w:r>
      <w:r w:rsidR="00C217AA" w:rsidRPr="00FA789E">
        <w:rPr>
          <w:b/>
          <w:kern w:val="2"/>
        </w:rPr>
        <w:tab/>
      </w:r>
      <w:r w:rsidR="003977F7" w:rsidRPr="00FA789E">
        <w:rPr>
          <w:b/>
          <w:kern w:val="2"/>
        </w:rPr>
        <w:t>No d</w:t>
      </w:r>
      <w:r w:rsidR="000D5E2D" w:rsidRPr="00FA789E">
        <w:rPr>
          <w:b/>
          <w:kern w:val="2"/>
        </w:rPr>
        <w:t xml:space="preserve">enial </w:t>
      </w:r>
      <w:r w:rsidR="003977F7" w:rsidRPr="00FA789E">
        <w:rPr>
          <w:b/>
          <w:kern w:val="2"/>
        </w:rPr>
        <w:t>of s</w:t>
      </w:r>
      <w:r w:rsidR="000D5E2D" w:rsidRPr="00FA789E">
        <w:rPr>
          <w:b/>
          <w:kern w:val="2"/>
        </w:rPr>
        <w:t>ervices</w:t>
      </w:r>
      <w:r w:rsidR="003977F7" w:rsidRPr="00FA789E">
        <w:rPr>
          <w:b/>
          <w:kern w:val="2"/>
        </w:rPr>
        <w:t xml:space="preserve"> for inability to p</w:t>
      </w:r>
      <w:r w:rsidR="00E84185" w:rsidRPr="00FA789E">
        <w:rPr>
          <w:b/>
          <w:kern w:val="2"/>
        </w:rPr>
        <w:t>ay</w:t>
      </w:r>
      <w:r w:rsidR="000D5E2D" w:rsidRPr="00FA789E">
        <w:rPr>
          <w:b/>
          <w:kern w:val="2"/>
        </w:rPr>
        <w:t>.</w:t>
      </w:r>
      <w:r w:rsidR="000D5E2D" w:rsidRPr="00FA789E">
        <w:rPr>
          <w:kern w:val="2"/>
        </w:rPr>
        <w:t xml:space="preserve"> </w:t>
      </w:r>
      <w:r w:rsidR="00F018BB" w:rsidRPr="00FA789E">
        <w:rPr>
          <w:kern w:val="2"/>
        </w:rPr>
        <w:t>Regardless of whether a patient qualifies for a discount, i</w:t>
      </w:r>
      <w:r w:rsidR="00300EC8" w:rsidRPr="00FA789E">
        <w:rPr>
          <w:kern w:val="2"/>
        </w:rPr>
        <w:t>f a patient would be denied services due to inability to pay, then charges will be waived or reduced to the extent necessary</w:t>
      </w:r>
      <w:r w:rsidR="000D5E2D" w:rsidRPr="00FA789E">
        <w:rPr>
          <w:kern w:val="2"/>
        </w:rPr>
        <w:t xml:space="preserve"> to ensure that such patient receives health care services</w:t>
      </w:r>
      <w:r w:rsidR="00300EC8" w:rsidRPr="00FA789E">
        <w:rPr>
          <w:kern w:val="2"/>
        </w:rPr>
        <w:t>.</w:t>
      </w:r>
      <w:r w:rsidR="00F018BB" w:rsidRPr="00FA789E">
        <w:rPr>
          <w:kern w:val="2"/>
        </w:rPr>
        <w:t xml:space="preserve"> </w:t>
      </w:r>
      <w:r w:rsidR="00696298" w:rsidRPr="00FA789E">
        <w:rPr>
          <w:kern w:val="2"/>
        </w:rPr>
        <w:t>The provision for waiving fees must be consistently made available for qualified</w:t>
      </w:r>
      <w:r w:rsidR="008A1CA1" w:rsidRPr="00FA789E">
        <w:rPr>
          <w:kern w:val="2"/>
        </w:rPr>
        <w:t xml:space="preserve"> patients</w:t>
      </w:r>
      <w:r w:rsidR="00F018BB" w:rsidRPr="00FA789E">
        <w:rPr>
          <w:kern w:val="2"/>
        </w:rPr>
        <w:t>.</w:t>
      </w:r>
    </w:p>
    <w:p w:rsidR="001E77BF" w:rsidRPr="00FA789E" w:rsidRDefault="001E77BF" w:rsidP="004F1CAD">
      <w:pPr>
        <w:jc w:val="both"/>
        <w:rPr>
          <w:kern w:val="2"/>
        </w:rPr>
      </w:pPr>
    </w:p>
    <w:p w:rsidR="00D648F8" w:rsidRPr="00FA789E" w:rsidRDefault="00D648F8" w:rsidP="004F1CAD">
      <w:pPr>
        <w:jc w:val="both"/>
        <w:rPr>
          <w:kern w:val="2"/>
        </w:rPr>
      </w:pPr>
      <w:r w:rsidRPr="00FA789E">
        <w:rPr>
          <w:kern w:val="2"/>
        </w:rPr>
        <w:t>Criteria for waiver or reduction include:</w:t>
      </w:r>
    </w:p>
    <w:p w:rsidR="00D648F8" w:rsidRPr="00FA789E" w:rsidRDefault="00D648F8" w:rsidP="00B52705">
      <w:pPr>
        <w:ind w:left="1080"/>
        <w:jc w:val="both"/>
        <w:rPr>
          <w:kern w:val="2"/>
        </w:rPr>
      </w:pPr>
    </w:p>
    <w:p w:rsidR="00D648F8" w:rsidRPr="00FA789E" w:rsidRDefault="00D648F8" w:rsidP="00B52705">
      <w:pPr>
        <w:ind w:left="1080"/>
        <w:jc w:val="both"/>
        <w:rPr>
          <w:kern w:val="2"/>
        </w:rPr>
      </w:pPr>
      <w:r w:rsidRPr="00FA789E">
        <w:rPr>
          <w:kern w:val="2"/>
        </w:rPr>
        <w:t>[</w:t>
      </w:r>
      <w:r w:rsidR="00FC3D62" w:rsidRPr="00FA789E">
        <w:rPr>
          <w:kern w:val="2"/>
        </w:rPr>
        <w:t>Note that h</w:t>
      </w:r>
      <w:r w:rsidRPr="00FA789E">
        <w:rPr>
          <w:kern w:val="2"/>
        </w:rPr>
        <w:t>ealth centers must ensure that this policy (or a separate policy) identifies specific criteria that would trigger a reduction or waiver of fees. For example, does the reduction or waiver of fees apply for both initial fees as well as balances, and if the latter, is there a specific balance amount that serves as a trigger? For initial fees, what types of circumstances would qualify for the individualized determination of need (undue financial hardship resulting from immediate events impacting the patient’s ability to pay such as housing, employment, etc.)? In addition, such policies must identify specific staff members with the authority to approve the reduction or waiver of fees.]</w:t>
      </w:r>
    </w:p>
    <w:p w:rsidR="00D648F8" w:rsidRPr="00FA789E" w:rsidRDefault="00D648F8" w:rsidP="00B52705">
      <w:pPr>
        <w:ind w:left="1080"/>
        <w:jc w:val="both"/>
        <w:rPr>
          <w:kern w:val="2"/>
        </w:rPr>
      </w:pPr>
    </w:p>
    <w:p w:rsidR="001E77BF" w:rsidRPr="00FA789E" w:rsidRDefault="001E77BF" w:rsidP="00C217AA">
      <w:pPr>
        <w:pStyle w:val="BodyText"/>
        <w:tabs>
          <w:tab w:val="left" w:pos="360"/>
        </w:tabs>
        <w:spacing w:after="0"/>
        <w:jc w:val="both"/>
        <w:rPr>
          <w:bCs/>
          <w:iCs/>
          <w:kern w:val="2"/>
        </w:rPr>
      </w:pPr>
      <w:r w:rsidRPr="00FA789E">
        <w:rPr>
          <w:b/>
          <w:kern w:val="2"/>
        </w:rPr>
        <w:t>10.</w:t>
      </w:r>
      <w:r w:rsidR="00C217AA" w:rsidRPr="00FA789E">
        <w:rPr>
          <w:kern w:val="2"/>
        </w:rPr>
        <w:tab/>
      </w:r>
      <w:r w:rsidR="00A61405" w:rsidRPr="00FA789E">
        <w:rPr>
          <w:b/>
          <w:kern w:val="2"/>
        </w:rPr>
        <w:t xml:space="preserve">Training. </w:t>
      </w:r>
      <w:r w:rsidRPr="00FA789E">
        <w:rPr>
          <w:bCs/>
          <w:iCs/>
          <w:kern w:val="2"/>
        </w:rPr>
        <w:t>Health Center will provide applicable</w:t>
      </w:r>
      <w:r w:rsidR="000E4380" w:rsidRPr="00FA789E">
        <w:rPr>
          <w:bCs/>
          <w:iCs/>
          <w:kern w:val="2"/>
        </w:rPr>
        <w:t xml:space="preserve"> staff with training on this policy</w:t>
      </w:r>
      <w:r w:rsidRPr="00FA789E">
        <w:rPr>
          <w:bCs/>
          <w:iCs/>
          <w:kern w:val="2"/>
        </w:rPr>
        <w:t xml:space="preserve">. </w:t>
      </w:r>
    </w:p>
    <w:p w:rsidR="000410EF" w:rsidRPr="00FA789E" w:rsidRDefault="000410EF" w:rsidP="004F1CAD">
      <w:pPr>
        <w:jc w:val="both"/>
        <w:rPr>
          <w:kern w:val="2"/>
        </w:rPr>
      </w:pPr>
    </w:p>
    <w:p w:rsidR="005F5A65" w:rsidRPr="00FA789E" w:rsidRDefault="003977F7" w:rsidP="004F1CAD">
      <w:pPr>
        <w:pStyle w:val="Heading1"/>
        <w:spacing w:after="0"/>
        <w:jc w:val="both"/>
        <w:rPr>
          <w:b/>
          <w:kern w:val="2"/>
          <w:szCs w:val="22"/>
        </w:rPr>
      </w:pPr>
      <w:r w:rsidRPr="00FA789E">
        <w:rPr>
          <w:b/>
          <w:kern w:val="2"/>
          <w:szCs w:val="22"/>
        </w:rPr>
        <w:t>Related policies and p</w:t>
      </w:r>
      <w:r w:rsidR="00F33F8E" w:rsidRPr="00FA789E">
        <w:rPr>
          <w:b/>
          <w:kern w:val="2"/>
          <w:szCs w:val="22"/>
        </w:rPr>
        <w:t>rocedures</w:t>
      </w:r>
      <w:r w:rsidR="00DD045F" w:rsidRPr="00FA789E">
        <w:rPr>
          <w:b/>
          <w:kern w:val="2"/>
          <w:szCs w:val="22"/>
        </w:rPr>
        <w:t>.</w:t>
      </w:r>
    </w:p>
    <w:p w:rsidR="00F33F8E" w:rsidRPr="00FA789E" w:rsidRDefault="00F33F8E" w:rsidP="004F1CAD">
      <w:pPr>
        <w:pStyle w:val="Heading1"/>
        <w:spacing w:after="0"/>
        <w:jc w:val="both"/>
        <w:rPr>
          <w:b/>
          <w:kern w:val="2"/>
          <w:szCs w:val="22"/>
        </w:rPr>
      </w:pPr>
    </w:p>
    <w:p w:rsidR="00CB45F2" w:rsidRPr="00BF3BD2" w:rsidRDefault="00BF3BD2" w:rsidP="00494719">
      <w:pPr>
        <w:pStyle w:val="BodyText"/>
        <w:numPr>
          <w:ilvl w:val="0"/>
          <w:numId w:val="43"/>
        </w:numPr>
        <w:spacing w:after="0"/>
        <w:ind w:left="1080"/>
        <w:jc w:val="both"/>
        <w:rPr>
          <w:rStyle w:val="Hyperlink"/>
          <w:kern w:val="2"/>
        </w:rPr>
      </w:pPr>
      <w:r>
        <w:rPr>
          <w:kern w:val="2"/>
        </w:rPr>
        <w:fldChar w:fldCharType="begin"/>
      </w:r>
      <w:r>
        <w:rPr>
          <w:kern w:val="2"/>
        </w:rPr>
        <w:instrText xml:space="preserve"> HYPERLINK "https://www.healthcentercompliance.com/subscriber/nachc-toolkit/volume-2/141" </w:instrText>
      </w:r>
      <w:r>
        <w:rPr>
          <w:kern w:val="2"/>
        </w:rPr>
        <w:fldChar w:fldCharType="separate"/>
      </w:r>
      <w:r w:rsidRPr="00BF3BD2">
        <w:rPr>
          <w:rStyle w:val="Hyperlink"/>
          <w:kern w:val="2"/>
        </w:rPr>
        <w:t>S</w:t>
      </w:r>
      <w:r w:rsidR="007B1052" w:rsidRPr="00BF3BD2">
        <w:rPr>
          <w:rStyle w:val="Hyperlink"/>
          <w:kern w:val="2"/>
        </w:rPr>
        <w:t xml:space="preserve">liding </w:t>
      </w:r>
      <w:r w:rsidR="00A00B2C" w:rsidRPr="00BF3BD2">
        <w:rPr>
          <w:rStyle w:val="Hyperlink"/>
          <w:kern w:val="2"/>
        </w:rPr>
        <w:t>f</w:t>
      </w:r>
      <w:r w:rsidR="007B1052" w:rsidRPr="00BF3BD2">
        <w:rPr>
          <w:rStyle w:val="Hyperlink"/>
          <w:kern w:val="2"/>
        </w:rPr>
        <w:t xml:space="preserve">ee </w:t>
      </w:r>
      <w:r w:rsidR="00A00B2C" w:rsidRPr="00BF3BD2">
        <w:rPr>
          <w:rStyle w:val="Hyperlink"/>
          <w:kern w:val="2"/>
        </w:rPr>
        <w:t>s</w:t>
      </w:r>
      <w:r w:rsidR="007B1052" w:rsidRPr="00BF3BD2">
        <w:rPr>
          <w:rStyle w:val="Hyperlink"/>
          <w:kern w:val="2"/>
        </w:rPr>
        <w:t>cale/</w:t>
      </w:r>
      <w:r w:rsidR="00A00B2C" w:rsidRPr="00BF3BD2">
        <w:rPr>
          <w:rStyle w:val="Hyperlink"/>
          <w:kern w:val="2"/>
        </w:rPr>
        <w:t>n</w:t>
      </w:r>
      <w:r w:rsidR="007B1052" w:rsidRPr="00BF3BD2">
        <w:rPr>
          <w:rStyle w:val="Hyperlink"/>
          <w:kern w:val="2"/>
        </w:rPr>
        <w:t xml:space="preserve">ominal </w:t>
      </w:r>
      <w:r w:rsidR="00A00B2C" w:rsidRPr="00BF3BD2">
        <w:rPr>
          <w:rStyle w:val="Hyperlink"/>
          <w:kern w:val="2"/>
        </w:rPr>
        <w:t>c</w:t>
      </w:r>
      <w:r w:rsidR="001B3759" w:rsidRPr="00BF3BD2">
        <w:rPr>
          <w:rStyle w:val="Hyperlink"/>
          <w:kern w:val="2"/>
        </w:rPr>
        <w:t>harge</w:t>
      </w:r>
      <w:r w:rsidR="007B1052" w:rsidRPr="00BF3BD2">
        <w:rPr>
          <w:rStyle w:val="Hyperlink"/>
          <w:kern w:val="2"/>
        </w:rPr>
        <w:t xml:space="preserve"> </w:t>
      </w:r>
      <w:r w:rsidR="00A00B2C" w:rsidRPr="00BF3BD2">
        <w:rPr>
          <w:rStyle w:val="Hyperlink"/>
          <w:kern w:val="2"/>
        </w:rPr>
        <w:t>e</w:t>
      </w:r>
      <w:r w:rsidR="007B1052" w:rsidRPr="00BF3BD2">
        <w:rPr>
          <w:rStyle w:val="Hyperlink"/>
          <w:kern w:val="2"/>
        </w:rPr>
        <w:t xml:space="preserve">ligibility </w:t>
      </w:r>
      <w:r w:rsidR="00A00B2C" w:rsidRPr="00BF3BD2">
        <w:rPr>
          <w:rStyle w:val="Hyperlink"/>
          <w:kern w:val="2"/>
        </w:rPr>
        <w:t>d</w:t>
      </w:r>
      <w:r w:rsidR="007B1052" w:rsidRPr="00BF3BD2">
        <w:rPr>
          <w:rStyle w:val="Hyperlink"/>
          <w:kern w:val="2"/>
        </w:rPr>
        <w:t>ocumentation</w:t>
      </w:r>
      <w:r w:rsidR="00A00B2C" w:rsidRPr="00BF3BD2">
        <w:rPr>
          <w:rStyle w:val="Hyperlink"/>
          <w:kern w:val="2"/>
        </w:rPr>
        <w:t>: Sample</w:t>
      </w:r>
      <w:r w:rsidR="007B1052" w:rsidRPr="00BF3BD2">
        <w:rPr>
          <w:rStyle w:val="Hyperlink"/>
          <w:kern w:val="2"/>
        </w:rPr>
        <w:t xml:space="preserve"> </w:t>
      </w:r>
      <w:r w:rsidR="00A00B2C" w:rsidRPr="00BF3BD2">
        <w:rPr>
          <w:rStyle w:val="Hyperlink"/>
          <w:kern w:val="2"/>
        </w:rPr>
        <w:t>f</w:t>
      </w:r>
      <w:r w:rsidR="007B1052" w:rsidRPr="00BF3BD2">
        <w:rPr>
          <w:rStyle w:val="Hyperlink"/>
          <w:kern w:val="2"/>
        </w:rPr>
        <w:t>orm</w:t>
      </w:r>
    </w:p>
    <w:p w:rsidR="002F1FA5" w:rsidRDefault="00BF3BD2" w:rsidP="002F1FA5">
      <w:pPr>
        <w:pStyle w:val="BodyText"/>
        <w:numPr>
          <w:ilvl w:val="0"/>
          <w:numId w:val="43"/>
        </w:numPr>
        <w:spacing w:after="0"/>
        <w:ind w:left="1080"/>
        <w:jc w:val="both"/>
        <w:rPr>
          <w:kern w:val="2"/>
        </w:rPr>
      </w:pPr>
      <w:r>
        <w:rPr>
          <w:kern w:val="2"/>
        </w:rPr>
        <w:fldChar w:fldCharType="end"/>
      </w:r>
      <w:r w:rsidR="002F1FA5" w:rsidRPr="002F1FA5">
        <w:rPr>
          <w:kern w:val="2"/>
        </w:rPr>
        <w:t xml:space="preserve"> </w:t>
      </w:r>
      <w:r w:rsidR="002F1FA5">
        <w:rPr>
          <w:kern w:val="2"/>
        </w:rPr>
        <w:t>Self-Attestation of Income (if applicable)</w:t>
      </w:r>
    </w:p>
    <w:p w:rsidR="002F1FA5" w:rsidRPr="000C61FA" w:rsidRDefault="002F1FA5" w:rsidP="002F1FA5">
      <w:pPr>
        <w:pStyle w:val="BodyText"/>
        <w:numPr>
          <w:ilvl w:val="0"/>
          <w:numId w:val="43"/>
        </w:numPr>
        <w:spacing w:after="0"/>
        <w:ind w:left="1080"/>
        <w:jc w:val="both"/>
        <w:rPr>
          <w:kern w:val="2"/>
        </w:rPr>
      </w:pPr>
      <w:r>
        <w:rPr>
          <w:kern w:val="2"/>
        </w:rPr>
        <w:t>Self-Attestation of No Income (if applicable)</w:t>
      </w:r>
    </w:p>
    <w:p w:rsidR="002F1FA5" w:rsidRDefault="002F1FA5" w:rsidP="002F1FA5">
      <w:pPr>
        <w:pStyle w:val="BodyText"/>
        <w:spacing w:after="0"/>
        <w:jc w:val="both"/>
        <w:rPr>
          <w:kern w:val="2"/>
        </w:rPr>
      </w:pPr>
    </w:p>
    <w:p w:rsidR="002F1FA5" w:rsidRPr="000C61FA" w:rsidRDefault="002F1FA5" w:rsidP="002F1FA5">
      <w:pPr>
        <w:pStyle w:val="BodyText"/>
        <w:spacing w:after="0"/>
        <w:ind w:left="720"/>
        <w:jc w:val="both"/>
        <w:rPr>
          <w:kern w:val="2"/>
        </w:rPr>
      </w:pPr>
      <w:r>
        <w:rPr>
          <w:kern w:val="2"/>
        </w:rPr>
        <w:t xml:space="preserve">[Note that </w:t>
      </w:r>
      <w:r w:rsidRPr="000C61FA">
        <w:rPr>
          <w:kern w:val="2"/>
        </w:rPr>
        <w:t>if any of the aforementioned sections are included in a separate policy and procedure, suc</w:t>
      </w:r>
      <w:r>
        <w:rPr>
          <w:kern w:val="2"/>
        </w:rPr>
        <w:t>h as billing and collection, a</w:t>
      </w:r>
      <w:r w:rsidRPr="000C61FA">
        <w:rPr>
          <w:kern w:val="2"/>
        </w:rPr>
        <w:t xml:space="preserve"> reference to such policy and procedure</w:t>
      </w:r>
      <w:r>
        <w:rPr>
          <w:kern w:val="2"/>
        </w:rPr>
        <w:t xml:space="preserve"> should be added here.</w:t>
      </w:r>
      <w:r w:rsidRPr="000C61FA">
        <w:rPr>
          <w:kern w:val="2"/>
        </w:rPr>
        <w:t>]</w:t>
      </w:r>
    </w:p>
    <w:p w:rsidR="002F1FA5" w:rsidRDefault="002F1FA5" w:rsidP="004F1CAD">
      <w:pPr>
        <w:pStyle w:val="BodyText"/>
        <w:spacing w:after="0"/>
        <w:jc w:val="both"/>
        <w:rPr>
          <w:b/>
          <w:kern w:val="2"/>
        </w:rPr>
      </w:pPr>
    </w:p>
    <w:p w:rsidR="00CB45F2" w:rsidRPr="00FA789E" w:rsidRDefault="00CB45F2" w:rsidP="004F1CAD">
      <w:pPr>
        <w:pStyle w:val="BodyText"/>
        <w:spacing w:after="0"/>
        <w:jc w:val="both"/>
        <w:rPr>
          <w:b/>
          <w:kern w:val="2"/>
        </w:rPr>
      </w:pPr>
      <w:r w:rsidRPr="00FA789E">
        <w:rPr>
          <w:b/>
          <w:kern w:val="2"/>
        </w:rPr>
        <w:t>This policy shall be periodically reviewed and updated consistent with the requirements and standards established by the Board of Directors and health center management, federal and state laws and regulations, and applicable accrediting and review organizations.</w:t>
      </w:r>
    </w:p>
    <w:p w:rsidR="00CB45F2" w:rsidRPr="00FA789E" w:rsidRDefault="00CB45F2" w:rsidP="004F1CAD">
      <w:pPr>
        <w:jc w:val="both"/>
        <w:rPr>
          <w:kern w:val="2"/>
        </w:rPr>
      </w:pPr>
    </w:p>
    <w:p w:rsidR="00CB45F2" w:rsidRPr="00FA789E" w:rsidRDefault="00CB45F2" w:rsidP="004F1CAD">
      <w:pPr>
        <w:jc w:val="both"/>
        <w:rPr>
          <w:b/>
          <w:kern w:val="2"/>
        </w:rPr>
      </w:pPr>
      <w:r w:rsidRPr="00FA789E">
        <w:rPr>
          <w:b/>
          <w:kern w:val="2"/>
        </w:rPr>
        <w:t>Responsible Parties:</w:t>
      </w:r>
    </w:p>
    <w:p w:rsidR="00CB45F2" w:rsidRPr="00FA789E" w:rsidRDefault="00CB45F2" w:rsidP="004F1CAD">
      <w:pPr>
        <w:jc w:val="both"/>
        <w:rPr>
          <w:b/>
          <w:kern w:val="2"/>
        </w:rPr>
      </w:pPr>
    </w:p>
    <w:p w:rsidR="00CB45F2" w:rsidRPr="00FA789E" w:rsidRDefault="00CB45F2" w:rsidP="004F1CAD">
      <w:pPr>
        <w:pStyle w:val="Heading3"/>
        <w:jc w:val="both"/>
        <w:rPr>
          <w:b/>
          <w:kern w:val="2"/>
          <w:u w:val="single"/>
        </w:rPr>
      </w:pPr>
      <w:r w:rsidRPr="00FA789E">
        <w:rPr>
          <w:kern w:val="2"/>
          <w:u w:val="single"/>
        </w:rPr>
        <w:t>Signature</w:t>
      </w:r>
      <w:r w:rsidRPr="00FA789E">
        <w:rPr>
          <w:kern w:val="2"/>
          <w:u w:val="single"/>
        </w:rPr>
        <w:tab/>
      </w:r>
      <w:r w:rsidRPr="00FA789E">
        <w:rPr>
          <w:kern w:val="2"/>
          <w:u w:val="single"/>
        </w:rPr>
        <w:tab/>
      </w:r>
      <w:r w:rsidRPr="00FA789E">
        <w:rPr>
          <w:kern w:val="2"/>
          <w:u w:val="single"/>
        </w:rPr>
        <w:tab/>
      </w:r>
      <w:r w:rsidRPr="00FA789E">
        <w:rPr>
          <w:kern w:val="2"/>
          <w:u w:val="single"/>
        </w:rPr>
        <w:tab/>
      </w:r>
      <w:r w:rsidRPr="00FA789E">
        <w:rPr>
          <w:kern w:val="2"/>
          <w:u w:val="single"/>
        </w:rPr>
        <w:tab/>
      </w:r>
      <w:r w:rsidRPr="00FA789E">
        <w:rPr>
          <w:kern w:val="2"/>
          <w:u w:val="single"/>
        </w:rPr>
        <w:tab/>
      </w:r>
      <w:r w:rsidRPr="00FA789E">
        <w:rPr>
          <w:kern w:val="2"/>
          <w:u w:val="single"/>
        </w:rPr>
        <w:tab/>
      </w:r>
      <w:r w:rsidRPr="00FA789E">
        <w:rPr>
          <w:kern w:val="2"/>
          <w:u w:val="single"/>
        </w:rPr>
        <w:tab/>
        <w:t>Date</w:t>
      </w:r>
      <w:r w:rsidRPr="00FA789E">
        <w:rPr>
          <w:kern w:val="2"/>
          <w:u w:val="single"/>
        </w:rPr>
        <w:tab/>
      </w:r>
      <w:r w:rsidRPr="00FA789E">
        <w:rPr>
          <w:kern w:val="2"/>
          <w:u w:val="single"/>
        </w:rPr>
        <w:tab/>
      </w:r>
      <w:r w:rsidRPr="00FA789E">
        <w:rPr>
          <w:kern w:val="2"/>
          <w:u w:val="single"/>
        </w:rPr>
        <w:tab/>
      </w:r>
      <w:r w:rsidRPr="00FA789E">
        <w:rPr>
          <w:kern w:val="2"/>
          <w:u w:val="single"/>
        </w:rPr>
        <w:tab/>
      </w:r>
    </w:p>
    <w:p w:rsidR="00CB45F2" w:rsidRPr="00FA789E" w:rsidRDefault="00281803" w:rsidP="004F1CAD">
      <w:pPr>
        <w:pStyle w:val="Heading3"/>
        <w:jc w:val="both"/>
        <w:rPr>
          <w:kern w:val="2"/>
        </w:rPr>
      </w:pPr>
      <w:r w:rsidRPr="00FA789E">
        <w:rPr>
          <w:kern w:val="2"/>
        </w:rPr>
        <w:t>Chief Executive Officer</w:t>
      </w:r>
    </w:p>
    <w:p w:rsidR="00CB45F2" w:rsidRPr="00FA789E" w:rsidRDefault="00CB45F2" w:rsidP="004F1CAD">
      <w:pPr>
        <w:jc w:val="both"/>
        <w:rPr>
          <w:kern w:val="2"/>
        </w:rPr>
      </w:pPr>
    </w:p>
    <w:p w:rsidR="00F33F8E" w:rsidRPr="00FA789E" w:rsidRDefault="00CB45F2" w:rsidP="004F1CAD">
      <w:pPr>
        <w:pStyle w:val="3"/>
        <w:rPr>
          <w:kern w:val="2"/>
        </w:rPr>
      </w:pPr>
      <w:r w:rsidRPr="00FA789E">
        <w:rPr>
          <w:kern w:val="2"/>
          <w:szCs w:val="24"/>
          <w:u w:val="single"/>
        </w:rPr>
        <w:t>Signature</w:t>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t>Date</w:t>
      </w:r>
      <w:r w:rsidRPr="00FA789E">
        <w:rPr>
          <w:kern w:val="2"/>
          <w:szCs w:val="24"/>
          <w:u w:val="single"/>
        </w:rPr>
        <w:tab/>
      </w:r>
      <w:r w:rsidRPr="00FA789E">
        <w:rPr>
          <w:kern w:val="2"/>
          <w:szCs w:val="24"/>
          <w:u w:val="single"/>
        </w:rPr>
        <w:tab/>
      </w:r>
      <w:r w:rsidRPr="00FA789E">
        <w:rPr>
          <w:kern w:val="2"/>
          <w:szCs w:val="24"/>
          <w:u w:val="single"/>
        </w:rPr>
        <w:tab/>
      </w:r>
      <w:r w:rsidRPr="00FA789E">
        <w:rPr>
          <w:kern w:val="2"/>
          <w:szCs w:val="24"/>
          <w:u w:val="single"/>
        </w:rPr>
        <w:tab/>
      </w:r>
    </w:p>
    <w:sectPr w:rsidR="00F33F8E" w:rsidRPr="00FA789E" w:rsidSect="00DE749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F9" w:rsidRDefault="000335F9">
      <w:r>
        <w:separator/>
      </w:r>
    </w:p>
  </w:endnote>
  <w:endnote w:type="continuationSeparator" w:id="0">
    <w:p w:rsidR="000335F9" w:rsidRDefault="0003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0D" w:rsidRDefault="00661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F0D" w:rsidRDefault="00661F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EF" w:rsidRPr="006D1E9E" w:rsidRDefault="000410EF" w:rsidP="000410EF">
    <w:pPr>
      <w:pBdr>
        <w:bottom w:val="single" w:sz="12" w:space="0" w:color="auto"/>
      </w:pBdr>
      <w:rPr>
        <w:sz w:val="20"/>
        <w:szCs w:val="20"/>
      </w:rPr>
    </w:pPr>
  </w:p>
  <w:p w:rsidR="000410EF" w:rsidRPr="006D1E9E" w:rsidRDefault="000410EF" w:rsidP="000410EF">
    <w:pPr>
      <w:tabs>
        <w:tab w:val="left" w:pos="2340"/>
      </w:tabs>
      <w:jc w:val="center"/>
      <w:rPr>
        <w:sz w:val="20"/>
        <w:szCs w:val="20"/>
      </w:rPr>
    </w:pPr>
  </w:p>
  <w:p w:rsidR="000410EF" w:rsidRPr="00837E29" w:rsidRDefault="00557202" w:rsidP="000410EF">
    <w:pPr>
      <w:tabs>
        <w:tab w:val="left" w:pos="2340"/>
      </w:tabs>
      <w:jc w:val="center"/>
      <w:rPr>
        <w:sz w:val="20"/>
        <w:szCs w:val="20"/>
      </w:rPr>
    </w:pPr>
    <w:r>
      <w:rPr>
        <w:sz w:val="20"/>
        <w:szCs w:val="20"/>
      </w:rPr>
      <w:t xml:space="preserve">The </w:t>
    </w:r>
    <w:r w:rsidR="000410EF" w:rsidRPr="00837E29">
      <w:rPr>
        <w:sz w:val="20"/>
        <w:szCs w:val="20"/>
      </w:rPr>
      <w:t>Corporate Compliance Toolkit</w:t>
    </w:r>
    <w:r>
      <w:rPr>
        <w:sz w:val="20"/>
        <w:szCs w:val="20"/>
      </w:rPr>
      <w:t xml:space="preserve"> for Health Centers</w:t>
    </w:r>
  </w:p>
  <w:p w:rsidR="000410EF" w:rsidRPr="00837E29" w:rsidRDefault="0096230F" w:rsidP="000410EF">
    <w:pPr>
      <w:tabs>
        <w:tab w:val="left" w:pos="2340"/>
      </w:tabs>
      <w:jc w:val="center"/>
      <w:rPr>
        <w:sz w:val="20"/>
        <w:szCs w:val="20"/>
      </w:rPr>
    </w:pPr>
    <w:r w:rsidRPr="00837E29">
      <w:rPr>
        <w:sz w:val="20"/>
        <w:szCs w:val="20"/>
        <w:lang w:val="de-DE"/>
      </w:rPr>
      <w:t>©</w:t>
    </w:r>
    <w:r w:rsidR="000410EF" w:rsidRPr="00837E29">
      <w:rPr>
        <w:sz w:val="20"/>
        <w:szCs w:val="20"/>
        <w:lang w:val="de-DE"/>
      </w:rPr>
      <w:t xml:space="preserve"> </w:t>
    </w:r>
    <w:r w:rsidR="005777AA">
      <w:rPr>
        <w:sz w:val="20"/>
        <w:szCs w:val="20"/>
        <w:lang w:val="de-DE"/>
      </w:rPr>
      <w:t>2016</w:t>
    </w:r>
    <w:r w:rsidR="00837E29" w:rsidRPr="00837E29">
      <w:rPr>
        <w:sz w:val="20"/>
        <w:szCs w:val="20"/>
        <w:lang w:val="de-DE"/>
      </w:rPr>
      <w:t xml:space="preserve"> </w:t>
    </w:r>
    <w:r w:rsidR="000410EF" w:rsidRPr="00837E29">
      <w:rPr>
        <w:sz w:val="20"/>
        <w:szCs w:val="20"/>
      </w:rPr>
      <w:t>National Association of Community Health Centers, Inc.</w:t>
    </w:r>
  </w:p>
  <w:p w:rsidR="000410EF" w:rsidRPr="00837E29" w:rsidRDefault="000410EF" w:rsidP="000410EF">
    <w:pPr>
      <w:tabs>
        <w:tab w:val="left" w:pos="2340"/>
      </w:tabs>
      <w:jc w:val="center"/>
      <w:rPr>
        <w:sz w:val="20"/>
        <w:szCs w:val="20"/>
        <w:lang w:val="de-DE"/>
      </w:rPr>
    </w:pPr>
    <w:r w:rsidRPr="00837E29">
      <w:rPr>
        <w:sz w:val="20"/>
        <w:szCs w:val="20"/>
        <w:lang w:val="de-DE"/>
      </w:rPr>
      <w:t>and Feldesman Tucker Leifer Fidell LLP</w:t>
    </w:r>
  </w:p>
  <w:p w:rsidR="000410EF" w:rsidRPr="00837E29" w:rsidRDefault="000410EF" w:rsidP="000410EF">
    <w:pPr>
      <w:tabs>
        <w:tab w:val="left" w:pos="2340"/>
      </w:tabs>
      <w:jc w:val="center"/>
      <w:rPr>
        <w:sz w:val="20"/>
        <w:szCs w:val="20"/>
        <w:lang w:val="de-DE"/>
      </w:rPr>
    </w:pPr>
  </w:p>
  <w:p w:rsidR="00661F0D" w:rsidRPr="00837E29" w:rsidRDefault="000410EF" w:rsidP="000410EF">
    <w:pPr>
      <w:tabs>
        <w:tab w:val="left" w:pos="2340"/>
      </w:tabs>
      <w:jc w:val="center"/>
      <w:rPr>
        <w:sz w:val="20"/>
        <w:szCs w:val="20"/>
        <w:lang w:val="de-DE"/>
      </w:rPr>
    </w:pPr>
    <w:r w:rsidRPr="00837E29">
      <w:rPr>
        <w:rStyle w:val="PageNumber"/>
        <w:sz w:val="20"/>
        <w:szCs w:val="20"/>
      </w:rPr>
      <w:fldChar w:fldCharType="begin"/>
    </w:r>
    <w:r w:rsidRPr="00837E29">
      <w:rPr>
        <w:rStyle w:val="PageNumber"/>
        <w:sz w:val="20"/>
        <w:szCs w:val="20"/>
      </w:rPr>
      <w:instrText xml:space="preserve"> PAGE </w:instrText>
    </w:r>
    <w:r w:rsidRPr="00837E29">
      <w:rPr>
        <w:rStyle w:val="PageNumber"/>
        <w:sz w:val="20"/>
        <w:szCs w:val="20"/>
      </w:rPr>
      <w:fldChar w:fldCharType="separate"/>
    </w:r>
    <w:r w:rsidR="00527D73">
      <w:rPr>
        <w:rStyle w:val="PageNumber"/>
        <w:noProof/>
        <w:sz w:val="20"/>
        <w:szCs w:val="20"/>
      </w:rPr>
      <w:t>3</w:t>
    </w:r>
    <w:r w:rsidRPr="00837E29">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0D" w:rsidRDefault="00661F0D">
    <w:pPr>
      <w:pBdr>
        <w:bottom w:val="single" w:sz="12" w:space="4" w:color="auto"/>
      </w:pBdr>
      <w:rPr>
        <w:sz w:val="20"/>
      </w:rPr>
    </w:pPr>
  </w:p>
  <w:p w:rsidR="00661F0D" w:rsidRDefault="00661F0D">
    <w:pPr>
      <w:jc w:val="center"/>
      <w:rPr>
        <w:b/>
        <w:bCs/>
      </w:rPr>
    </w:pPr>
  </w:p>
  <w:p w:rsidR="00661F0D" w:rsidRDefault="00661F0D">
    <w:pPr>
      <w:tabs>
        <w:tab w:val="left" w:pos="2340"/>
      </w:tabs>
      <w:jc w:val="center"/>
      <w:rPr>
        <w:b/>
        <w:bCs/>
      </w:rPr>
    </w:pPr>
    <w:r>
      <w:rPr>
        <w:b/>
        <w:bC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b/>
        <w:bCs/>
      </w:rPr>
      <w:t xml:space="preserve"> -</w:t>
    </w:r>
  </w:p>
  <w:p w:rsidR="00661F0D" w:rsidRDefault="00661F0D">
    <w:pPr>
      <w:tabs>
        <w:tab w:val="left" w:pos="2340"/>
      </w:tabs>
      <w:jc w:val="center"/>
      <w:rPr>
        <w:sz w:val="20"/>
      </w:rPr>
    </w:pPr>
    <w:r>
      <w:rPr>
        <w:sz w:val="20"/>
      </w:rPr>
      <w:t xml:space="preserve"> </w:t>
    </w:r>
  </w:p>
  <w:p w:rsidR="00661F0D" w:rsidRDefault="00661F0D">
    <w:pPr>
      <w:tabs>
        <w:tab w:val="left" w:pos="2340"/>
      </w:tabs>
      <w:jc w:val="center"/>
      <w:rPr>
        <w:sz w:val="20"/>
      </w:rPr>
    </w:pPr>
    <w:r>
      <w:rPr>
        <w:sz w:val="20"/>
      </w:rPr>
      <w:t>The NACHC Corporate Compliance Development Program</w:t>
    </w:r>
  </w:p>
  <w:p w:rsidR="00661F0D" w:rsidRDefault="00661F0D">
    <w:pPr>
      <w:tabs>
        <w:tab w:val="left" w:pos="2340"/>
      </w:tabs>
      <w:jc w:val="center"/>
      <w:rPr>
        <w:sz w:val="20"/>
      </w:rPr>
    </w:pPr>
    <w:r>
      <w:rPr>
        <w:sz w:val="20"/>
      </w:rPr>
      <w:t>Copyright © Corporate Compliance Development LLP, May 2001</w:t>
    </w:r>
  </w:p>
  <w:p w:rsidR="00661F0D" w:rsidRDefault="00661F0D">
    <w:pPr>
      <w:pStyle w:val="Footer"/>
      <w:tabs>
        <w:tab w:val="left" w:pos="2340"/>
      </w:tabs>
      <w:rPr>
        <w:sz w:val="20"/>
      </w:rPr>
    </w:pPr>
  </w:p>
  <w:p w:rsidR="00661F0D" w:rsidRDefault="0066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F9" w:rsidRDefault="000335F9">
      <w:r>
        <w:separator/>
      </w:r>
    </w:p>
  </w:footnote>
  <w:footnote w:type="continuationSeparator" w:id="0">
    <w:p w:rsidR="000335F9" w:rsidRDefault="000335F9">
      <w:r>
        <w:continuationSeparator/>
      </w:r>
    </w:p>
  </w:footnote>
  <w:footnote w:id="1">
    <w:p w:rsidR="009379CD" w:rsidRDefault="009379CD" w:rsidP="00311CA4">
      <w:pPr>
        <w:pStyle w:val="FootnoteText"/>
        <w:spacing w:before="0" w:after="0"/>
        <w:ind w:left="360" w:hanging="360"/>
      </w:pPr>
      <w:r>
        <w:rPr>
          <w:rStyle w:val="FootnoteReference"/>
        </w:rPr>
        <w:footnoteRef/>
      </w:r>
      <w:r>
        <w:t xml:space="preserve"> </w:t>
      </w:r>
      <w:r w:rsidR="004F1CAD">
        <w:tab/>
      </w:r>
      <w:r w:rsidR="005C226D" w:rsidRPr="00403C01">
        <w:t xml:space="preserve">The Authors of these materials include attorneys at the law firm of Feldesman Tucker Leifer Fidell LLP. The </w:t>
      </w:r>
      <w:r w:rsidR="005C226D" w:rsidRPr="00D46C87">
        <w:t>sample documents</w:t>
      </w:r>
      <w:r w:rsidR="005C226D" w:rsidRPr="00403C01">
        <w:t xml:space="preserve"> offer general guidance based on federal law and regulations and do not necessarily apply to all </w:t>
      </w:r>
      <w:r w:rsidR="005C226D">
        <w:t>health center</w:t>
      </w:r>
      <w:r w:rsidR="005C226D" w:rsidRPr="00403C01">
        <w:t>s under all facts and circumstances.</w:t>
      </w:r>
      <w:r w:rsidR="00C85CB0">
        <w:t xml:space="preserve"> </w:t>
      </w:r>
      <w:r w:rsidR="005C226D" w:rsidRPr="00403C01">
        <w:t>Further, these materials do not replace, and are not a substitute for, legal advice from qualified legal counsel.</w:t>
      </w:r>
    </w:p>
  </w:footnote>
  <w:footnote w:id="2">
    <w:p w:rsidR="00661F0D" w:rsidRPr="00E06A81" w:rsidRDefault="00661F0D" w:rsidP="00311CA4">
      <w:pPr>
        <w:pStyle w:val="FootnoteText"/>
        <w:spacing w:before="0" w:after="0"/>
        <w:ind w:left="360" w:hanging="360"/>
        <w:rPr>
          <w:kern w:val="0"/>
        </w:rPr>
      </w:pPr>
      <w:r w:rsidRPr="00E06A81">
        <w:rPr>
          <w:rStyle w:val="FootnoteReference"/>
          <w:kern w:val="0"/>
        </w:rPr>
        <w:footnoteRef/>
      </w:r>
      <w:r w:rsidR="00EE17A6">
        <w:rPr>
          <w:kern w:val="0"/>
        </w:rPr>
        <w:t xml:space="preserve"> </w:t>
      </w:r>
      <w:r w:rsidR="004F1CAD">
        <w:rPr>
          <w:kern w:val="0"/>
        </w:rPr>
        <w:tab/>
      </w:r>
      <w:r w:rsidRPr="00E06A81">
        <w:rPr>
          <w:kern w:val="0"/>
        </w:rPr>
        <w:t>Using the following sample as a guide, health centers should tailor the procedure to reflect their own health center’s processes and operations.</w:t>
      </w:r>
    </w:p>
  </w:footnote>
  <w:footnote w:id="3">
    <w:p w:rsidR="00AE0FDB" w:rsidRDefault="00AE0FDB" w:rsidP="00311CA4">
      <w:pPr>
        <w:pStyle w:val="FootnoteText"/>
        <w:spacing w:before="0" w:after="0"/>
        <w:ind w:left="360" w:hanging="360"/>
      </w:pPr>
      <w:r>
        <w:rPr>
          <w:rStyle w:val="FootnoteReference"/>
        </w:rPr>
        <w:footnoteRef/>
      </w:r>
      <w:r w:rsidR="00311CA4">
        <w:tab/>
      </w:r>
      <w:r w:rsidR="00D66CFB">
        <w:t xml:space="preserve">The </w:t>
      </w:r>
      <w:r w:rsidR="001F76CE">
        <w:t xml:space="preserve">Department of Health and Human Services’ annual </w:t>
      </w:r>
      <w:r w:rsidR="00D66CFB">
        <w:t xml:space="preserve">Poverty Guidelines are available </w:t>
      </w:r>
      <w:r w:rsidR="00F973EC">
        <w:t>at</w:t>
      </w:r>
      <w:r w:rsidR="00B3434F">
        <w:t>:</w:t>
      </w:r>
      <w:r>
        <w:t xml:space="preserve"> </w:t>
      </w:r>
      <w:hyperlink r:id="rId1" w:history="1">
        <w:r w:rsidR="00D05A5C" w:rsidRPr="00E12CA1">
          <w:rPr>
            <w:rStyle w:val="Hyperlink"/>
          </w:rPr>
          <w:t>http://aspe.hhs.gov/poverty/index.cfm</w:t>
        </w:r>
      </w:hyperlink>
      <w:r w:rsidR="0080246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0D" w:rsidRDefault="00661F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1F0D" w:rsidRDefault="00661F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0D" w:rsidRDefault="00661F0D" w:rsidP="00CF2DA9">
    <w:pPr>
      <w:pStyle w:val="Header"/>
      <w:tabs>
        <w:tab w:val="center" w:pos="4140"/>
      </w:tabs>
      <w:jc w:val="center"/>
      <w:rPr>
        <w:sz w:val="20"/>
      </w:rPr>
    </w:pPr>
    <w:r w:rsidRPr="00AF599A">
      <w:rPr>
        <w:rStyle w:val="PageNumber"/>
        <w:sz w:val="20"/>
        <w:szCs w:val="20"/>
      </w:rPr>
      <w:t>Volume</w:t>
    </w:r>
    <w:r w:rsidR="0080246D">
      <w:rPr>
        <w:sz w:val="20"/>
      </w:rPr>
      <w:t xml:space="preserve"> II:</w:t>
    </w:r>
    <w:r>
      <w:rPr>
        <w:sz w:val="20"/>
      </w:rPr>
      <w:t xml:space="preserve"> Health Center Risk Areas</w:t>
    </w:r>
  </w:p>
  <w:p w:rsidR="00661F0D" w:rsidRDefault="00661F0D" w:rsidP="00CF2DA9">
    <w:pPr>
      <w:pStyle w:val="Header"/>
      <w:pBdr>
        <w:bottom w:val="single" w:sz="12" w:space="1" w:color="auto"/>
      </w:pBdr>
      <w:jc w:val="center"/>
      <w:rPr>
        <w:sz w:val="20"/>
      </w:rPr>
    </w:pPr>
    <w:r>
      <w:rPr>
        <w:sz w:val="20"/>
      </w:rPr>
      <w:t>Regulatory</w:t>
    </w:r>
  </w:p>
  <w:p w:rsidR="00661F0D" w:rsidRDefault="00661F0D" w:rsidP="00CF2DA9">
    <w:pPr>
      <w:pStyle w:val="Header"/>
      <w:pBdr>
        <w:bottom w:val="single" w:sz="12" w:space="1" w:color="auto"/>
      </w:pBdr>
      <w:jc w:val="center"/>
      <w:rPr>
        <w:sz w:val="20"/>
      </w:rPr>
    </w:pPr>
  </w:p>
  <w:p w:rsidR="00661F0D" w:rsidRPr="00CF2DA9" w:rsidRDefault="00661F0D" w:rsidP="00CF2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0D" w:rsidRDefault="00661F0D">
    <w:pPr>
      <w:jc w:val="center"/>
      <w:rPr>
        <w:sz w:val="20"/>
      </w:rPr>
    </w:pPr>
    <w:r>
      <w:rPr>
        <w:sz w:val="20"/>
      </w:rPr>
      <w:t>Phase I: Corporate Compliance Program Framework Tools</w:t>
    </w:r>
  </w:p>
  <w:p w:rsidR="00661F0D" w:rsidRDefault="00661F0D">
    <w:pPr>
      <w:jc w:val="center"/>
      <w:rPr>
        <w:sz w:val="20"/>
      </w:rPr>
    </w:pPr>
    <w:r>
      <w:rPr>
        <w:sz w:val="20"/>
      </w:rPr>
      <w:t>Developing Open Lines of Communication</w:t>
    </w:r>
  </w:p>
  <w:p w:rsidR="00661F0D" w:rsidRDefault="00661F0D">
    <w:pPr>
      <w:pBdr>
        <w:bottom w:val="single" w:sz="12" w:space="0" w:color="auto"/>
      </w:pBdr>
      <w:rPr>
        <w:sz w:val="20"/>
      </w:rPr>
    </w:pPr>
  </w:p>
  <w:p w:rsidR="00661F0D" w:rsidRDefault="00661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nsid w:val="0583308C"/>
    <w:multiLevelType w:val="hybridMultilevel"/>
    <w:tmpl w:val="3DDA1C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0A0D52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F335A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8A761BB"/>
    <w:multiLevelType w:val="hybridMultilevel"/>
    <w:tmpl w:val="4078C57C"/>
    <w:lvl w:ilvl="0" w:tplc="C65C4792">
      <w:start w:val="1"/>
      <w:numFmt w:val="decimal"/>
      <w:lvlText w:val="%1."/>
      <w:lvlJc w:val="left"/>
      <w:pPr>
        <w:tabs>
          <w:tab w:val="num" w:pos="1080"/>
        </w:tabs>
        <w:ind w:left="1080" w:hanging="360"/>
      </w:pPr>
      <w:rPr>
        <w:rFonts w:ascii="Times New Roman" w:eastAsia="Times New Roman" w:hAnsi="Times New Roman" w:cs="Times New Roman"/>
        <w:b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A60FA0"/>
    <w:multiLevelType w:val="hybridMultilevel"/>
    <w:tmpl w:val="FA52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843C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2345746"/>
    <w:multiLevelType w:val="hybridMultilevel"/>
    <w:tmpl w:val="A298260E"/>
    <w:lvl w:ilvl="0" w:tplc="5C32498A">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EC505D"/>
    <w:multiLevelType w:val="hybridMultilevel"/>
    <w:tmpl w:val="52CA9F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1E2C14"/>
    <w:multiLevelType w:val="hybridMultilevel"/>
    <w:tmpl w:val="52CA9F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830C4B"/>
    <w:multiLevelType w:val="hybridMultilevel"/>
    <w:tmpl w:val="65B8D9B8"/>
    <w:lvl w:ilvl="0" w:tplc="04090001">
      <w:start w:val="1"/>
      <w:numFmt w:val="bullet"/>
      <w:lvlText w:val=""/>
      <w:lvlJc w:val="left"/>
      <w:pPr>
        <w:tabs>
          <w:tab w:val="num" w:pos="2160"/>
        </w:tabs>
        <w:ind w:left="2160" w:hanging="360"/>
      </w:pPr>
      <w:rPr>
        <w:rFonts w:ascii="Symbol" w:hAnsi="Symbol" w:hint="default"/>
      </w:rPr>
    </w:lvl>
    <w:lvl w:ilvl="1" w:tplc="0B6C6FC2">
      <w:start w:val="4"/>
      <w:numFmt w:val="upperLetter"/>
      <w:lvlText w:val="%2."/>
      <w:lvlJc w:val="left"/>
      <w:pPr>
        <w:tabs>
          <w:tab w:val="num" w:pos="2880"/>
        </w:tabs>
        <w:ind w:left="2880" w:hanging="360"/>
      </w:pPr>
      <w:rPr>
        <w:rFonts w:hint="default"/>
        <w:b w:val="0"/>
        <w:i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0F140A5"/>
    <w:multiLevelType w:val="hybridMultilevel"/>
    <w:tmpl w:val="06F2DFEC"/>
    <w:lvl w:ilvl="0" w:tplc="FF723E1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63D03"/>
    <w:multiLevelType w:val="hybridMultilevel"/>
    <w:tmpl w:val="BD946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35105BF5"/>
    <w:multiLevelType w:val="hybridMultilevel"/>
    <w:tmpl w:val="066EE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FD4064"/>
    <w:multiLevelType w:val="hybridMultilevel"/>
    <w:tmpl w:val="6A20CF1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29C7C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7564CE0"/>
    <w:multiLevelType w:val="hybridMultilevel"/>
    <w:tmpl w:val="CDDC0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5954A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801E2F"/>
    <w:multiLevelType w:val="hybridMultilevel"/>
    <w:tmpl w:val="6C462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9B4739"/>
    <w:multiLevelType w:val="hybridMultilevel"/>
    <w:tmpl w:val="2BB63F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5F32CE6"/>
    <w:multiLevelType w:val="hybridMultilevel"/>
    <w:tmpl w:val="58040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9CF502A"/>
    <w:multiLevelType w:val="hybridMultilevel"/>
    <w:tmpl w:val="0F164490"/>
    <w:lvl w:ilvl="0" w:tplc="121ADC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32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34"/>
  </w:num>
  <w:num w:numId="3">
    <w:abstractNumId w:val="11"/>
  </w:num>
  <w:num w:numId="4">
    <w:abstractNumId w:val="15"/>
  </w:num>
  <w:num w:numId="5">
    <w:abstractNumId w:val="25"/>
  </w:num>
  <w:num w:numId="6">
    <w:abstractNumId w:val="12"/>
  </w:num>
  <w:num w:numId="7">
    <w:abstractNumId w:val="26"/>
  </w:num>
  <w:num w:numId="8">
    <w:abstractNumId w:val="29"/>
  </w:num>
  <w:num w:numId="9">
    <w:abstractNumId w:val="16"/>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7"/>
  </w:num>
  <w:num w:numId="31">
    <w:abstractNumId w:val="13"/>
  </w:num>
  <w:num w:numId="32">
    <w:abstractNumId w:val="23"/>
  </w:num>
  <w:num w:numId="33">
    <w:abstractNumId w:val="30"/>
  </w:num>
  <w:num w:numId="34">
    <w:abstractNumId w:val="20"/>
  </w:num>
  <w:num w:numId="35">
    <w:abstractNumId w:val="19"/>
  </w:num>
  <w:num w:numId="36">
    <w:abstractNumId w:val="33"/>
  </w:num>
  <w:num w:numId="37">
    <w:abstractNumId w:val="18"/>
  </w:num>
  <w:num w:numId="38">
    <w:abstractNumId w:val="14"/>
  </w:num>
  <w:num w:numId="39">
    <w:abstractNumId w:val="24"/>
  </w:num>
  <w:num w:numId="40">
    <w:abstractNumId w:val="22"/>
  </w:num>
  <w:num w:numId="41">
    <w:abstractNumId w:val="31"/>
  </w:num>
  <w:num w:numId="42">
    <w:abstractNumId w:val="10"/>
  </w:num>
  <w:num w:numId="43">
    <w:abstractNumId w:val="21"/>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8E"/>
    <w:rsid w:val="000115F2"/>
    <w:rsid w:val="000127EB"/>
    <w:rsid w:val="00013273"/>
    <w:rsid w:val="00030B0D"/>
    <w:rsid w:val="000335F9"/>
    <w:rsid w:val="000410EF"/>
    <w:rsid w:val="00045FC6"/>
    <w:rsid w:val="000468AC"/>
    <w:rsid w:val="0005602A"/>
    <w:rsid w:val="000571CB"/>
    <w:rsid w:val="00074B6C"/>
    <w:rsid w:val="00081BE5"/>
    <w:rsid w:val="000906C8"/>
    <w:rsid w:val="00093564"/>
    <w:rsid w:val="000A1529"/>
    <w:rsid w:val="000A21CB"/>
    <w:rsid w:val="000B5061"/>
    <w:rsid w:val="000C19A4"/>
    <w:rsid w:val="000C2337"/>
    <w:rsid w:val="000D1A60"/>
    <w:rsid w:val="000D5E2D"/>
    <w:rsid w:val="000D6867"/>
    <w:rsid w:val="000E0309"/>
    <w:rsid w:val="000E4380"/>
    <w:rsid w:val="000F219B"/>
    <w:rsid w:val="000F67F2"/>
    <w:rsid w:val="001022ED"/>
    <w:rsid w:val="00111ADE"/>
    <w:rsid w:val="00124590"/>
    <w:rsid w:val="00132A64"/>
    <w:rsid w:val="00133C2E"/>
    <w:rsid w:val="00145E00"/>
    <w:rsid w:val="001567CC"/>
    <w:rsid w:val="001707CB"/>
    <w:rsid w:val="00171ACB"/>
    <w:rsid w:val="001809FB"/>
    <w:rsid w:val="00180CF0"/>
    <w:rsid w:val="00181F3E"/>
    <w:rsid w:val="001827B8"/>
    <w:rsid w:val="00183C4F"/>
    <w:rsid w:val="001847BC"/>
    <w:rsid w:val="0018717B"/>
    <w:rsid w:val="00190FC5"/>
    <w:rsid w:val="00194720"/>
    <w:rsid w:val="001A4E5D"/>
    <w:rsid w:val="001B2142"/>
    <w:rsid w:val="001B3347"/>
    <w:rsid w:val="001B3697"/>
    <w:rsid w:val="001B3759"/>
    <w:rsid w:val="001C1CBF"/>
    <w:rsid w:val="001D40D2"/>
    <w:rsid w:val="001E2E86"/>
    <w:rsid w:val="001E51F1"/>
    <w:rsid w:val="001E77BF"/>
    <w:rsid w:val="001F135B"/>
    <w:rsid w:val="001F76CE"/>
    <w:rsid w:val="0020177D"/>
    <w:rsid w:val="00203947"/>
    <w:rsid w:val="0021270F"/>
    <w:rsid w:val="002138FC"/>
    <w:rsid w:val="002153CF"/>
    <w:rsid w:val="0021603B"/>
    <w:rsid w:val="002321B0"/>
    <w:rsid w:val="002371AD"/>
    <w:rsid w:val="002406B7"/>
    <w:rsid w:val="00266D7C"/>
    <w:rsid w:val="00272950"/>
    <w:rsid w:val="0027568E"/>
    <w:rsid w:val="00275E53"/>
    <w:rsid w:val="00281803"/>
    <w:rsid w:val="0029030F"/>
    <w:rsid w:val="002A3564"/>
    <w:rsid w:val="002B048B"/>
    <w:rsid w:val="002B0A85"/>
    <w:rsid w:val="002B0D97"/>
    <w:rsid w:val="002B302F"/>
    <w:rsid w:val="002C1095"/>
    <w:rsid w:val="002C360D"/>
    <w:rsid w:val="002C4F2D"/>
    <w:rsid w:val="002C5BB7"/>
    <w:rsid w:val="002D13A6"/>
    <w:rsid w:val="002D5AC5"/>
    <w:rsid w:val="002F1FA5"/>
    <w:rsid w:val="002F3BA1"/>
    <w:rsid w:val="0030058A"/>
    <w:rsid w:val="00300EC8"/>
    <w:rsid w:val="00304B1F"/>
    <w:rsid w:val="00305E1C"/>
    <w:rsid w:val="00311CA4"/>
    <w:rsid w:val="00312CA2"/>
    <w:rsid w:val="00314637"/>
    <w:rsid w:val="00317268"/>
    <w:rsid w:val="00321D64"/>
    <w:rsid w:val="0032653A"/>
    <w:rsid w:val="00326879"/>
    <w:rsid w:val="00331DA8"/>
    <w:rsid w:val="0034788E"/>
    <w:rsid w:val="0035151A"/>
    <w:rsid w:val="00351A7B"/>
    <w:rsid w:val="00372F29"/>
    <w:rsid w:val="003819E7"/>
    <w:rsid w:val="003833B9"/>
    <w:rsid w:val="00385733"/>
    <w:rsid w:val="003966B1"/>
    <w:rsid w:val="003977F7"/>
    <w:rsid w:val="003A2011"/>
    <w:rsid w:val="003A4100"/>
    <w:rsid w:val="003A45AA"/>
    <w:rsid w:val="003D6E6A"/>
    <w:rsid w:val="003E15F3"/>
    <w:rsid w:val="004019A7"/>
    <w:rsid w:val="0040435E"/>
    <w:rsid w:val="004072E1"/>
    <w:rsid w:val="004117E0"/>
    <w:rsid w:val="004159EA"/>
    <w:rsid w:val="00420980"/>
    <w:rsid w:val="00422FAF"/>
    <w:rsid w:val="00426C75"/>
    <w:rsid w:val="004306F4"/>
    <w:rsid w:val="00430CF8"/>
    <w:rsid w:val="00443D6B"/>
    <w:rsid w:val="004507E7"/>
    <w:rsid w:val="00454F4E"/>
    <w:rsid w:val="00456374"/>
    <w:rsid w:val="00461DBC"/>
    <w:rsid w:val="00464120"/>
    <w:rsid w:val="0046603B"/>
    <w:rsid w:val="004664E5"/>
    <w:rsid w:val="0047534A"/>
    <w:rsid w:val="00475F0B"/>
    <w:rsid w:val="00481694"/>
    <w:rsid w:val="00494719"/>
    <w:rsid w:val="00494996"/>
    <w:rsid w:val="00496BAD"/>
    <w:rsid w:val="00497F98"/>
    <w:rsid w:val="004A221E"/>
    <w:rsid w:val="004A5A45"/>
    <w:rsid w:val="004B24B2"/>
    <w:rsid w:val="004B4928"/>
    <w:rsid w:val="004B4A07"/>
    <w:rsid w:val="004C3F16"/>
    <w:rsid w:val="004C64AD"/>
    <w:rsid w:val="004D12AF"/>
    <w:rsid w:val="004D3D00"/>
    <w:rsid w:val="004F1CAD"/>
    <w:rsid w:val="004F333A"/>
    <w:rsid w:val="004F75A5"/>
    <w:rsid w:val="00505366"/>
    <w:rsid w:val="00506393"/>
    <w:rsid w:val="00506C03"/>
    <w:rsid w:val="00512C3C"/>
    <w:rsid w:val="00513B12"/>
    <w:rsid w:val="00516093"/>
    <w:rsid w:val="00520CD5"/>
    <w:rsid w:val="005229D8"/>
    <w:rsid w:val="00527D73"/>
    <w:rsid w:val="00530503"/>
    <w:rsid w:val="00534E49"/>
    <w:rsid w:val="00536870"/>
    <w:rsid w:val="00546E18"/>
    <w:rsid w:val="005507B8"/>
    <w:rsid w:val="0055569D"/>
    <w:rsid w:val="00557202"/>
    <w:rsid w:val="00564A13"/>
    <w:rsid w:val="005777AA"/>
    <w:rsid w:val="00577F84"/>
    <w:rsid w:val="00586E05"/>
    <w:rsid w:val="00587575"/>
    <w:rsid w:val="00591283"/>
    <w:rsid w:val="00593B84"/>
    <w:rsid w:val="005948DF"/>
    <w:rsid w:val="0059649C"/>
    <w:rsid w:val="005A2532"/>
    <w:rsid w:val="005A744C"/>
    <w:rsid w:val="005B77E0"/>
    <w:rsid w:val="005C179A"/>
    <w:rsid w:val="005C226D"/>
    <w:rsid w:val="005C42C6"/>
    <w:rsid w:val="005D263C"/>
    <w:rsid w:val="005E0F13"/>
    <w:rsid w:val="005E25EE"/>
    <w:rsid w:val="005F105C"/>
    <w:rsid w:val="005F5A65"/>
    <w:rsid w:val="00603A97"/>
    <w:rsid w:val="00634B27"/>
    <w:rsid w:val="006418CE"/>
    <w:rsid w:val="006451EF"/>
    <w:rsid w:val="00646085"/>
    <w:rsid w:val="00655589"/>
    <w:rsid w:val="00661F0D"/>
    <w:rsid w:val="00671AA1"/>
    <w:rsid w:val="006761DA"/>
    <w:rsid w:val="00693D5F"/>
    <w:rsid w:val="00696298"/>
    <w:rsid w:val="00697AE8"/>
    <w:rsid w:val="006B0F0B"/>
    <w:rsid w:val="006B14A3"/>
    <w:rsid w:val="006B7395"/>
    <w:rsid w:val="006C7B67"/>
    <w:rsid w:val="006D0EAE"/>
    <w:rsid w:val="006D2349"/>
    <w:rsid w:val="006E0B75"/>
    <w:rsid w:val="006E7706"/>
    <w:rsid w:val="006F1FF4"/>
    <w:rsid w:val="00703BC1"/>
    <w:rsid w:val="007053DE"/>
    <w:rsid w:val="00706724"/>
    <w:rsid w:val="00714A16"/>
    <w:rsid w:val="00714B92"/>
    <w:rsid w:val="00733187"/>
    <w:rsid w:val="0073400E"/>
    <w:rsid w:val="007359DE"/>
    <w:rsid w:val="00746DEC"/>
    <w:rsid w:val="00751E5A"/>
    <w:rsid w:val="0075254B"/>
    <w:rsid w:val="0079011C"/>
    <w:rsid w:val="00795C43"/>
    <w:rsid w:val="007B0C8B"/>
    <w:rsid w:val="007B1052"/>
    <w:rsid w:val="007B466A"/>
    <w:rsid w:val="007C6316"/>
    <w:rsid w:val="007C7723"/>
    <w:rsid w:val="007D087A"/>
    <w:rsid w:val="007E0C6A"/>
    <w:rsid w:val="007E2305"/>
    <w:rsid w:val="007E65A8"/>
    <w:rsid w:val="007E6A66"/>
    <w:rsid w:val="007F52C4"/>
    <w:rsid w:val="007F64FA"/>
    <w:rsid w:val="007F6A4D"/>
    <w:rsid w:val="008007B5"/>
    <w:rsid w:val="0080246D"/>
    <w:rsid w:val="0080355E"/>
    <w:rsid w:val="00811AD9"/>
    <w:rsid w:val="008210A3"/>
    <w:rsid w:val="0083195F"/>
    <w:rsid w:val="008322A2"/>
    <w:rsid w:val="00833AD3"/>
    <w:rsid w:val="00834A09"/>
    <w:rsid w:val="00837E29"/>
    <w:rsid w:val="0084156E"/>
    <w:rsid w:val="00844ED1"/>
    <w:rsid w:val="00847B5B"/>
    <w:rsid w:val="00863357"/>
    <w:rsid w:val="008651D5"/>
    <w:rsid w:val="00873BC4"/>
    <w:rsid w:val="008854BE"/>
    <w:rsid w:val="00890706"/>
    <w:rsid w:val="008942E2"/>
    <w:rsid w:val="00894D4D"/>
    <w:rsid w:val="008A168B"/>
    <w:rsid w:val="008A1CA1"/>
    <w:rsid w:val="008A2E55"/>
    <w:rsid w:val="008A583C"/>
    <w:rsid w:val="008B328B"/>
    <w:rsid w:val="008B6A91"/>
    <w:rsid w:val="008B7FA4"/>
    <w:rsid w:val="008C205E"/>
    <w:rsid w:val="008C5163"/>
    <w:rsid w:val="008D442E"/>
    <w:rsid w:val="008D7F9C"/>
    <w:rsid w:val="008E61BD"/>
    <w:rsid w:val="008F07E9"/>
    <w:rsid w:val="008F1C28"/>
    <w:rsid w:val="008F56F0"/>
    <w:rsid w:val="008F5C95"/>
    <w:rsid w:val="00901DE5"/>
    <w:rsid w:val="00913C34"/>
    <w:rsid w:val="0093076D"/>
    <w:rsid w:val="00931D05"/>
    <w:rsid w:val="00933315"/>
    <w:rsid w:val="0093555B"/>
    <w:rsid w:val="009379CD"/>
    <w:rsid w:val="00947B63"/>
    <w:rsid w:val="00952922"/>
    <w:rsid w:val="00956311"/>
    <w:rsid w:val="00957074"/>
    <w:rsid w:val="0096168D"/>
    <w:rsid w:val="0096230F"/>
    <w:rsid w:val="0097182C"/>
    <w:rsid w:val="009808E9"/>
    <w:rsid w:val="009875D1"/>
    <w:rsid w:val="0099760D"/>
    <w:rsid w:val="009A0DE6"/>
    <w:rsid w:val="009B0BF8"/>
    <w:rsid w:val="009C0F76"/>
    <w:rsid w:val="009C1E1A"/>
    <w:rsid w:val="009C6C38"/>
    <w:rsid w:val="009D2FC7"/>
    <w:rsid w:val="009D5303"/>
    <w:rsid w:val="009E2330"/>
    <w:rsid w:val="009F256A"/>
    <w:rsid w:val="00A00B2C"/>
    <w:rsid w:val="00A064C0"/>
    <w:rsid w:val="00A066CD"/>
    <w:rsid w:val="00A066E0"/>
    <w:rsid w:val="00A15F26"/>
    <w:rsid w:val="00A30F6C"/>
    <w:rsid w:val="00A37B5B"/>
    <w:rsid w:val="00A521B8"/>
    <w:rsid w:val="00A53B11"/>
    <w:rsid w:val="00A544F8"/>
    <w:rsid w:val="00A571C1"/>
    <w:rsid w:val="00A576E1"/>
    <w:rsid w:val="00A61405"/>
    <w:rsid w:val="00A6523D"/>
    <w:rsid w:val="00A657E7"/>
    <w:rsid w:val="00A73233"/>
    <w:rsid w:val="00A7556E"/>
    <w:rsid w:val="00A80E84"/>
    <w:rsid w:val="00A825BF"/>
    <w:rsid w:val="00A82FA8"/>
    <w:rsid w:val="00A926BF"/>
    <w:rsid w:val="00A95CD8"/>
    <w:rsid w:val="00AA2539"/>
    <w:rsid w:val="00AB0356"/>
    <w:rsid w:val="00AB307F"/>
    <w:rsid w:val="00AC57F0"/>
    <w:rsid w:val="00AD190F"/>
    <w:rsid w:val="00AD1D55"/>
    <w:rsid w:val="00AE0FDB"/>
    <w:rsid w:val="00AE1CAC"/>
    <w:rsid w:val="00AF00AB"/>
    <w:rsid w:val="00AF3BC9"/>
    <w:rsid w:val="00AF41E6"/>
    <w:rsid w:val="00B01A6E"/>
    <w:rsid w:val="00B25B9C"/>
    <w:rsid w:val="00B27963"/>
    <w:rsid w:val="00B3434F"/>
    <w:rsid w:val="00B4072B"/>
    <w:rsid w:val="00B443AC"/>
    <w:rsid w:val="00B44DA8"/>
    <w:rsid w:val="00B52705"/>
    <w:rsid w:val="00B5322D"/>
    <w:rsid w:val="00B53A82"/>
    <w:rsid w:val="00B65C05"/>
    <w:rsid w:val="00B670DF"/>
    <w:rsid w:val="00B67A08"/>
    <w:rsid w:val="00B70A46"/>
    <w:rsid w:val="00B8248C"/>
    <w:rsid w:val="00B8466A"/>
    <w:rsid w:val="00B92A11"/>
    <w:rsid w:val="00BA0984"/>
    <w:rsid w:val="00BA0B42"/>
    <w:rsid w:val="00BA0DF3"/>
    <w:rsid w:val="00BA2B31"/>
    <w:rsid w:val="00BA3534"/>
    <w:rsid w:val="00BA7828"/>
    <w:rsid w:val="00BB39F3"/>
    <w:rsid w:val="00BD7474"/>
    <w:rsid w:val="00BE2A9D"/>
    <w:rsid w:val="00BF3066"/>
    <w:rsid w:val="00BF3731"/>
    <w:rsid w:val="00BF3BD2"/>
    <w:rsid w:val="00BF63D8"/>
    <w:rsid w:val="00BF6C5B"/>
    <w:rsid w:val="00BF7E3C"/>
    <w:rsid w:val="00C008A3"/>
    <w:rsid w:val="00C01E7B"/>
    <w:rsid w:val="00C1142A"/>
    <w:rsid w:val="00C12D9A"/>
    <w:rsid w:val="00C217AA"/>
    <w:rsid w:val="00C23FEA"/>
    <w:rsid w:val="00C32990"/>
    <w:rsid w:val="00C40018"/>
    <w:rsid w:val="00C62ADB"/>
    <w:rsid w:val="00C72370"/>
    <w:rsid w:val="00C735B2"/>
    <w:rsid w:val="00C77FEF"/>
    <w:rsid w:val="00C84537"/>
    <w:rsid w:val="00C85CB0"/>
    <w:rsid w:val="00C87B8E"/>
    <w:rsid w:val="00C927EC"/>
    <w:rsid w:val="00CA0E58"/>
    <w:rsid w:val="00CA1554"/>
    <w:rsid w:val="00CA3316"/>
    <w:rsid w:val="00CB2CF4"/>
    <w:rsid w:val="00CB45F2"/>
    <w:rsid w:val="00CC2641"/>
    <w:rsid w:val="00CD0492"/>
    <w:rsid w:val="00CD0DBC"/>
    <w:rsid w:val="00CD2ABD"/>
    <w:rsid w:val="00CD51F5"/>
    <w:rsid w:val="00CE5260"/>
    <w:rsid w:val="00CE6E93"/>
    <w:rsid w:val="00CF1C1A"/>
    <w:rsid w:val="00CF2DA9"/>
    <w:rsid w:val="00D033BD"/>
    <w:rsid w:val="00D05A5C"/>
    <w:rsid w:val="00D064EF"/>
    <w:rsid w:val="00D10963"/>
    <w:rsid w:val="00D10DEB"/>
    <w:rsid w:val="00D162B7"/>
    <w:rsid w:val="00D23474"/>
    <w:rsid w:val="00D31C42"/>
    <w:rsid w:val="00D3575A"/>
    <w:rsid w:val="00D35C8A"/>
    <w:rsid w:val="00D35D48"/>
    <w:rsid w:val="00D56571"/>
    <w:rsid w:val="00D60515"/>
    <w:rsid w:val="00D648F8"/>
    <w:rsid w:val="00D66CFB"/>
    <w:rsid w:val="00D7459F"/>
    <w:rsid w:val="00D74FCF"/>
    <w:rsid w:val="00D836C4"/>
    <w:rsid w:val="00DA0C1B"/>
    <w:rsid w:val="00DC0308"/>
    <w:rsid w:val="00DD045F"/>
    <w:rsid w:val="00DD34CC"/>
    <w:rsid w:val="00DD4006"/>
    <w:rsid w:val="00DD4944"/>
    <w:rsid w:val="00DD58F6"/>
    <w:rsid w:val="00DE1FCD"/>
    <w:rsid w:val="00DE6E52"/>
    <w:rsid w:val="00DE749F"/>
    <w:rsid w:val="00DF7D12"/>
    <w:rsid w:val="00E052F6"/>
    <w:rsid w:val="00E06A81"/>
    <w:rsid w:val="00E0782B"/>
    <w:rsid w:val="00E106A4"/>
    <w:rsid w:val="00E13D94"/>
    <w:rsid w:val="00E21422"/>
    <w:rsid w:val="00E21B41"/>
    <w:rsid w:val="00E22FAE"/>
    <w:rsid w:val="00E25CE5"/>
    <w:rsid w:val="00E27163"/>
    <w:rsid w:val="00E30DB8"/>
    <w:rsid w:val="00E34497"/>
    <w:rsid w:val="00E36CA6"/>
    <w:rsid w:val="00E4305F"/>
    <w:rsid w:val="00E47E97"/>
    <w:rsid w:val="00E51254"/>
    <w:rsid w:val="00E51555"/>
    <w:rsid w:val="00E51574"/>
    <w:rsid w:val="00E52164"/>
    <w:rsid w:val="00E604F1"/>
    <w:rsid w:val="00E62BD0"/>
    <w:rsid w:val="00E82C75"/>
    <w:rsid w:val="00E84185"/>
    <w:rsid w:val="00E84B69"/>
    <w:rsid w:val="00E9156B"/>
    <w:rsid w:val="00EA2375"/>
    <w:rsid w:val="00EA71F7"/>
    <w:rsid w:val="00EB691E"/>
    <w:rsid w:val="00ED24DA"/>
    <w:rsid w:val="00EE17A6"/>
    <w:rsid w:val="00EE6EBF"/>
    <w:rsid w:val="00EF0017"/>
    <w:rsid w:val="00EF2041"/>
    <w:rsid w:val="00EF4F8E"/>
    <w:rsid w:val="00F018BB"/>
    <w:rsid w:val="00F049C3"/>
    <w:rsid w:val="00F2780B"/>
    <w:rsid w:val="00F3137C"/>
    <w:rsid w:val="00F32D42"/>
    <w:rsid w:val="00F33F8E"/>
    <w:rsid w:val="00F479F5"/>
    <w:rsid w:val="00F47D62"/>
    <w:rsid w:val="00F6326F"/>
    <w:rsid w:val="00F64139"/>
    <w:rsid w:val="00F6476F"/>
    <w:rsid w:val="00F67EFB"/>
    <w:rsid w:val="00F7178B"/>
    <w:rsid w:val="00F91F1A"/>
    <w:rsid w:val="00F933EB"/>
    <w:rsid w:val="00F94A7E"/>
    <w:rsid w:val="00F973EC"/>
    <w:rsid w:val="00F9763A"/>
    <w:rsid w:val="00FA2558"/>
    <w:rsid w:val="00FA7264"/>
    <w:rsid w:val="00FA789E"/>
    <w:rsid w:val="00FB79B6"/>
    <w:rsid w:val="00FC3D62"/>
    <w:rsid w:val="00FC5F26"/>
    <w:rsid w:val="00FC60E9"/>
    <w:rsid w:val="00FE001C"/>
    <w:rsid w:val="00FE3857"/>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C8"/>
    <w:rPr>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link w:val="FTLFNormalChar"/>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link w:val="CommentTextChar"/>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iCs/>
      <w:spacing w:val="-5"/>
    </w:rPr>
  </w:style>
  <w:style w:type="character" w:styleId="CommentReference">
    <w:name w:val="annotation reference"/>
    <w:semiHidden/>
    <w:rsid w:val="009808E9"/>
    <w:rPr>
      <w:sz w:val="16"/>
      <w:szCs w:val="16"/>
    </w:rPr>
  </w:style>
  <w:style w:type="paragraph" w:styleId="ListParagraph">
    <w:name w:val="List Paragraph"/>
    <w:basedOn w:val="Normal"/>
    <w:uiPriority w:val="34"/>
    <w:qFormat/>
    <w:rsid w:val="00CF1C1A"/>
    <w:pPr>
      <w:ind w:left="720"/>
    </w:pPr>
  </w:style>
  <w:style w:type="paragraph" w:styleId="CommentSubject">
    <w:name w:val="annotation subject"/>
    <w:basedOn w:val="CommentText"/>
    <w:next w:val="CommentText"/>
    <w:link w:val="CommentSubjectChar"/>
    <w:uiPriority w:val="99"/>
    <w:semiHidden/>
    <w:unhideWhenUsed/>
    <w:rsid w:val="00E25CE5"/>
    <w:rPr>
      <w:b/>
      <w:bCs/>
      <w:kern w:val="0"/>
    </w:rPr>
  </w:style>
  <w:style w:type="character" w:customStyle="1" w:styleId="FTLFNormalChar">
    <w:name w:val="FTLFNormal Char"/>
    <w:link w:val="FTLFNormal"/>
    <w:rsid w:val="00E25CE5"/>
    <w:rPr>
      <w:kern w:val="24"/>
      <w:sz w:val="24"/>
      <w:szCs w:val="24"/>
    </w:rPr>
  </w:style>
  <w:style w:type="character" w:customStyle="1" w:styleId="CommentTextChar">
    <w:name w:val="Comment Text Char"/>
    <w:basedOn w:val="FTLFNormalChar"/>
    <w:link w:val="CommentText"/>
    <w:semiHidden/>
    <w:rsid w:val="00E25CE5"/>
    <w:rPr>
      <w:kern w:val="24"/>
      <w:sz w:val="24"/>
      <w:szCs w:val="24"/>
    </w:rPr>
  </w:style>
  <w:style w:type="character" w:customStyle="1" w:styleId="CommentSubjectChar">
    <w:name w:val="Comment Subject Char"/>
    <w:link w:val="CommentSubject"/>
    <w:uiPriority w:val="99"/>
    <w:semiHidden/>
    <w:rsid w:val="00E25CE5"/>
    <w:rPr>
      <w:b/>
      <w:bCs/>
      <w:kern w:val="24"/>
      <w:sz w:val="24"/>
      <w:szCs w:val="24"/>
    </w:rPr>
  </w:style>
  <w:style w:type="paragraph" w:customStyle="1" w:styleId="3">
    <w:name w:val="3)"/>
    <w:basedOn w:val="Normal"/>
    <w:rsid w:val="00CB45F2"/>
    <w:pPr>
      <w:jc w:val="both"/>
    </w:pPr>
    <w:rPr>
      <w:szCs w:val="20"/>
    </w:rPr>
  </w:style>
  <w:style w:type="paragraph" w:styleId="Revision">
    <w:name w:val="Revision"/>
    <w:hidden/>
    <w:uiPriority w:val="99"/>
    <w:semiHidden/>
    <w:rsid w:val="00F32D42"/>
    <w:rPr>
      <w:sz w:val="24"/>
      <w:szCs w:val="24"/>
    </w:rPr>
  </w:style>
  <w:style w:type="character" w:styleId="FollowedHyperlink">
    <w:name w:val="FollowedHyperlink"/>
    <w:basedOn w:val="DefaultParagraphFont"/>
    <w:uiPriority w:val="99"/>
    <w:semiHidden/>
    <w:unhideWhenUsed/>
    <w:rsid w:val="002F1F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C8"/>
    <w:rPr>
      <w:sz w:val="24"/>
      <w:szCs w:val="24"/>
    </w:rPr>
  </w:style>
  <w:style w:type="paragraph" w:styleId="Heading1">
    <w:name w:val="heading 1"/>
    <w:basedOn w:val="FTLFNormal"/>
    <w:next w:val="BodyText"/>
    <w:qFormat/>
    <w:rsid w:val="000C19A4"/>
    <w:pPr>
      <w:keepNext/>
      <w:spacing w:after="240"/>
      <w:outlineLvl w:val="0"/>
    </w:pPr>
    <w:rPr>
      <w:rFonts w:cs="Arial"/>
      <w:bCs/>
      <w:kern w:val="0"/>
    </w:rPr>
  </w:style>
  <w:style w:type="paragraph" w:styleId="Heading2">
    <w:name w:val="heading 2"/>
    <w:basedOn w:val="FTLFNormal"/>
    <w:next w:val="BodyText"/>
    <w:qFormat/>
    <w:rsid w:val="000C19A4"/>
    <w:pPr>
      <w:outlineLvl w:val="1"/>
    </w:pPr>
    <w:rPr>
      <w:bCs/>
      <w:iCs/>
    </w:rPr>
  </w:style>
  <w:style w:type="paragraph" w:styleId="Heading3">
    <w:name w:val="heading 3"/>
    <w:basedOn w:val="FTLFNormal"/>
    <w:next w:val="BodyText"/>
    <w:qFormat/>
    <w:rsid w:val="000C19A4"/>
    <w:pPr>
      <w:outlineLvl w:val="2"/>
    </w:pPr>
    <w:rPr>
      <w:bCs/>
    </w:rPr>
  </w:style>
  <w:style w:type="paragraph" w:styleId="Heading4">
    <w:name w:val="heading 4"/>
    <w:basedOn w:val="FTLFNormal"/>
    <w:next w:val="BodyText"/>
    <w:qFormat/>
    <w:rsid w:val="000C19A4"/>
    <w:pPr>
      <w:outlineLvl w:val="3"/>
    </w:pPr>
    <w:rPr>
      <w:bCs/>
    </w:rPr>
  </w:style>
  <w:style w:type="paragraph" w:styleId="Heading5">
    <w:name w:val="heading 5"/>
    <w:basedOn w:val="FTLFNormal"/>
    <w:next w:val="BodyText"/>
    <w:qFormat/>
    <w:rsid w:val="000C19A4"/>
    <w:pPr>
      <w:outlineLvl w:val="4"/>
    </w:pPr>
    <w:rPr>
      <w:bCs/>
      <w:iCs/>
    </w:rPr>
  </w:style>
  <w:style w:type="paragraph" w:styleId="Heading6">
    <w:name w:val="heading 6"/>
    <w:basedOn w:val="FTLFNormal"/>
    <w:next w:val="BodyText"/>
    <w:qFormat/>
    <w:rsid w:val="000C19A4"/>
    <w:pPr>
      <w:outlineLvl w:val="5"/>
    </w:pPr>
    <w:rPr>
      <w:bCs/>
    </w:rPr>
  </w:style>
  <w:style w:type="paragraph" w:styleId="Heading7">
    <w:name w:val="heading 7"/>
    <w:basedOn w:val="FTLFNormal"/>
    <w:next w:val="BodyText"/>
    <w:qFormat/>
    <w:rsid w:val="000C19A4"/>
    <w:pPr>
      <w:outlineLvl w:val="6"/>
    </w:pPr>
  </w:style>
  <w:style w:type="paragraph" w:styleId="Heading8">
    <w:name w:val="heading 8"/>
    <w:basedOn w:val="FTLFNormal"/>
    <w:next w:val="BodyText"/>
    <w:qFormat/>
    <w:rsid w:val="000C19A4"/>
    <w:pPr>
      <w:outlineLvl w:val="7"/>
    </w:pPr>
    <w:rPr>
      <w:iCs/>
    </w:rPr>
  </w:style>
  <w:style w:type="paragraph" w:styleId="Heading9">
    <w:name w:val="heading 9"/>
    <w:basedOn w:val="FTLFNormal"/>
    <w:next w:val="BodyText"/>
    <w:qFormat/>
    <w:rsid w:val="000C19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C19A4"/>
    <w:pPr>
      <w:numPr>
        <w:numId w:val="2"/>
      </w:numPr>
    </w:pPr>
  </w:style>
  <w:style w:type="numbering" w:styleId="1ai">
    <w:name w:val="Outline List 1"/>
    <w:basedOn w:val="NoList"/>
    <w:semiHidden/>
    <w:rsid w:val="000C19A4"/>
    <w:pPr>
      <w:numPr>
        <w:numId w:val="4"/>
      </w:numPr>
    </w:pPr>
  </w:style>
  <w:style w:type="numbering" w:customStyle="1" w:styleId="1a1ai">
    <w:name w:val="1./a./(1)/(a)/i."/>
    <w:basedOn w:val="NoList"/>
    <w:rsid w:val="000C19A4"/>
    <w:pPr>
      <w:numPr>
        <w:numId w:val="5"/>
      </w:numPr>
    </w:pPr>
  </w:style>
  <w:style w:type="numbering" w:styleId="ArticleSection">
    <w:name w:val="Outline List 3"/>
    <w:basedOn w:val="NoList"/>
    <w:semiHidden/>
    <w:rsid w:val="000C19A4"/>
    <w:pPr>
      <w:numPr>
        <w:numId w:val="7"/>
      </w:numPr>
    </w:pPr>
  </w:style>
  <w:style w:type="paragraph" w:customStyle="1" w:styleId="FTLFNormal">
    <w:name w:val="FTLFNormal"/>
    <w:link w:val="FTLFNormalChar"/>
    <w:rsid w:val="000C19A4"/>
    <w:rPr>
      <w:kern w:val="24"/>
      <w:sz w:val="24"/>
      <w:szCs w:val="24"/>
    </w:rPr>
  </w:style>
  <w:style w:type="paragraph" w:styleId="BalloonText">
    <w:name w:val="Balloon Text"/>
    <w:basedOn w:val="FTLFNormal"/>
    <w:semiHidden/>
    <w:rsid w:val="000C19A4"/>
    <w:rPr>
      <w:rFonts w:ascii="Tahoma" w:hAnsi="Tahoma" w:cs="Tahoma"/>
      <w:sz w:val="16"/>
      <w:szCs w:val="16"/>
    </w:rPr>
  </w:style>
  <w:style w:type="paragraph" w:styleId="BlockText">
    <w:name w:val="Block Text"/>
    <w:basedOn w:val="FTLFNormal"/>
    <w:rsid w:val="000C19A4"/>
    <w:pPr>
      <w:spacing w:after="240"/>
      <w:ind w:left="2160"/>
    </w:pPr>
  </w:style>
  <w:style w:type="paragraph" w:styleId="BodyText">
    <w:name w:val="Body Text"/>
    <w:aliases w:val="BT"/>
    <w:basedOn w:val="FTLFNormal"/>
    <w:rsid w:val="000C19A4"/>
    <w:pPr>
      <w:spacing w:after="240"/>
    </w:pPr>
  </w:style>
  <w:style w:type="paragraph" w:styleId="BodyText2">
    <w:name w:val="Body Text 2"/>
    <w:basedOn w:val="BodyText"/>
    <w:semiHidden/>
    <w:rsid w:val="000C19A4"/>
    <w:pPr>
      <w:spacing w:line="480" w:lineRule="auto"/>
    </w:pPr>
  </w:style>
  <w:style w:type="paragraph" w:styleId="BodyText3">
    <w:name w:val="Body Text 3"/>
    <w:basedOn w:val="BodyText"/>
    <w:semiHidden/>
    <w:rsid w:val="000C19A4"/>
    <w:rPr>
      <w:szCs w:val="16"/>
    </w:rPr>
  </w:style>
  <w:style w:type="paragraph" w:styleId="BodyTextFirstIndent">
    <w:name w:val="Body Text First Indent"/>
    <w:basedOn w:val="BodyText"/>
    <w:rsid w:val="000C19A4"/>
    <w:pPr>
      <w:ind w:firstLine="720"/>
    </w:pPr>
  </w:style>
  <w:style w:type="paragraph" w:styleId="BodyTextIndent">
    <w:name w:val="Body Text Indent"/>
    <w:basedOn w:val="BodyText"/>
    <w:rsid w:val="000C19A4"/>
    <w:pPr>
      <w:ind w:left="720"/>
    </w:pPr>
  </w:style>
  <w:style w:type="paragraph" w:styleId="BodyTextIndent2">
    <w:name w:val="Body Text Indent 2"/>
    <w:basedOn w:val="BodyTextIndent"/>
    <w:semiHidden/>
    <w:rsid w:val="000C19A4"/>
    <w:pPr>
      <w:spacing w:after="120" w:line="480" w:lineRule="auto"/>
    </w:pPr>
  </w:style>
  <w:style w:type="paragraph" w:styleId="BodyTextIndent3">
    <w:name w:val="Body Text Indent 3"/>
    <w:basedOn w:val="BodyTextIndent"/>
    <w:semiHidden/>
    <w:rsid w:val="000C19A4"/>
    <w:pPr>
      <w:spacing w:after="120"/>
      <w:ind w:left="360"/>
    </w:pPr>
    <w:rPr>
      <w:sz w:val="16"/>
      <w:szCs w:val="16"/>
    </w:rPr>
  </w:style>
  <w:style w:type="paragraph" w:customStyle="1" w:styleId="BodyText-NoSpace">
    <w:name w:val="Body Text-No Space"/>
    <w:basedOn w:val="BodyText"/>
    <w:rsid w:val="000C19A4"/>
    <w:pPr>
      <w:spacing w:after="0"/>
    </w:pPr>
  </w:style>
  <w:style w:type="paragraph" w:customStyle="1" w:styleId="Bullet1">
    <w:name w:val="Bullet 1"/>
    <w:basedOn w:val="FTLFNormal"/>
    <w:rsid w:val="000C19A4"/>
    <w:pPr>
      <w:numPr>
        <w:numId w:val="8"/>
      </w:numPr>
      <w:spacing w:after="240"/>
    </w:pPr>
    <w:rPr>
      <w:szCs w:val="20"/>
    </w:rPr>
  </w:style>
  <w:style w:type="paragraph" w:styleId="Caption">
    <w:name w:val="caption"/>
    <w:basedOn w:val="FTLFNormal"/>
    <w:next w:val="BodyText"/>
    <w:qFormat/>
    <w:rsid w:val="000C19A4"/>
    <w:pPr>
      <w:spacing w:before="120" w:after="120"/>
    </w:pPr>
    <w:rPr>
      <w:b/>
      <w:bCs/>
      <w:sz w:val="20"/>
      <w:szCs w:val="20"/>
    </w:rPr>
  </w:style>
  <w:style w:type="character" w:customStyle="1" w:styleId="CharBold">
    <w:name w:val="Char Bold"/>
    <w:rsid w:val="000C19A4"/>
    <w:rPr>
      <w:b/>
    </w:rPr>
  </w:style>
  <w:style w:type="character" w:customStyle="1" w:styleId="CharBoldItalic">
    <w:name w:val="Char Bold Italic"/>
    <w:rsid w:val="000C19A4"/>
    <w:rPr>
      <w:b/>
      <w:i/>
    </w:rPr>
  </w:style>
  <w:style w:type="character" w:customStyle="1" w:styleId="CharBoldItalicUnderline">
    <w:name w:val="Char Bold Italic Underline"/>
    <w:rsid w:val="000C19A4"/>
    <w:rPr>
      <w:b/>
      <w:i/>
      <w:u w:val="single"/>
    </w:rPr>
  </w:style>
  <w:style w:type="character" w:customStyle="1" w:styleId="CharBoldUnderline">
    <w:name w:val="Char Bold Underline"/>
    <w:rsid w:val="000C19A4"/>
    <w:rPr>
      <w:b/>
      <w:u w:val="single"/>
    </w:rPr>
  </w:style>
  <w:style w:type="character" w:customStyle="1" w:styleId="CharItalic">
    <w:name w:val="Char Italic"/>
    <w:rsid w:val="000C19A4"/>
    <w:rPr>
      <w:i/>
    </w:rPr>
  </w:style>
  <w:style w:type="character" w:customStyle="1" w:styleId="CharItalicUnderline">
    <w:name w:val="Char Italic Underline"/>
    <w:rsid w:val="000C19A4"/>
    <w:rPr>
      <w:i/>
      <w:u w:val="single"/>
    </w:rPr>
  </w:style>
  <w:style w:type="character" w:customStyle="1" w:styleId="CharUnderline">
    <w:name w:val="Char Underline"/>
    <w:rsid w:val="000C19A4"/>
    <w:rPr>
      <w:u w:val="single"/>
    </w:rPr>
  </w:style>
  <w:style w:type="paragraph" w:styleId="Closing">
    <w:name w:val="Closing"/>
    <w:basedOn w:val="FTLFNormal"/>
    <w:semiHidden/>
    <w:rsid w:val="000C19A4"/>
    <w:pPr>
      <w:ind w:left="4320"/>
    </w:pPr>
  </w:style>
  <w:style w:type="paragraph" w:styleId="CommentText">
    <w:name w:val="annotation text"/>
    <w:basedOn w:val="FTLFNormal"/>
    <w:link w:val="CommentTextChar"/>
    <w:semiHidden/>
    <w:rsid w:val="000C19A4"/>
    <w:rPr>
      <w:sz w:val="20"/>
      <w:szCs w:val="20"/>
    </w:rPr>
  </w:style>
  <w:style w:type="paragraph" w:styleId="Date">
    <w:name w:val="Date"/>
    <w:basedOn w:val="FTLFNormal"/>
    <w:next w:val="Normal"/>
    <w:rsid w:val="000C19A4"/>
    <w:pPr>
      <w:spacing w:after="240"/>
      <w:jc w:val="center"/>
    </w:pPr>
  </w:style>
  <w:style w:type="paragraph" w:styleId="DocumentMap">
    <w:name w:val="Document Map"/>
    <w:basedOn w:val="FTLFNormal"/>
    <w:semiHidden/>
    <w:rsid w:val="000C19A4"/>
    <w:pPr>
      <w:shd w:val="clear" w:color="auto" w:fill="000080"/>
      <w:spacing w:after="240"/>
    </w:pPr>
    <w:rPr>
      <w:rFonts w:ascii="Tahoma" w:hAnsi="Tahoma" w:cs="Tahoma"/>
    </w:rPr>
  </w:style>
  <w:style w:type="paragraph" w:styleId="E-mailSignature">
    <w:name w:val="E-mail Signature"/>
    <w:basedOn w:val="FTLFNormal"/>
    <w:semiHidden/>
    <w:rsid w:val="000C19A4"/>
    <w:pPr>
      <w:spacing w:after="240"/>
    </w:pPr>
  </w:style>
  <w:style w:type="character" w:styleId="EndnoteReference">
    <w:name w:val="endnote reference"/>
    <w:semiHidden/>
    <w:rsid w:val="000C19A4"/>
    <w:rPr>
      <w:vertAlign w:val="superscript"/>
    </w:rPr>
  </w:style>
  <w:style w:type="paragraph" w:styleId="EndnoteText">
    <w:name w:val="endnote text"/>
    <w:basedOn w:val="FTLFNormal"/>
    <w:semiHidden/>
    <w:rsid w:val="000C19A4"/>
    <w:pPr>
      <w:spacing w:before="60" w:after="60"/>
    </w:pPr>
    <w:rPr>
      <w:sz w:val="20"/>
      <w:szCs w:val="20"/>
    </w:rPr>
  </w:style>
  <w:style w:type="paragraph" w:styleId="EnvelopeAddress">
    <w:name w:val="envelope address"/>
    <w:basedOn w:val="FTLFNormal"/>
    <w:semiHidden/>
    <w:rsid w:val="000C19A4"/>
    <w:pPr>
      <w:framePr w:w="7920" w:h="1980" w:hRule="exact" w:hSpace="180" w:wrap="auto" w:hAnchor="page" w:xAlign="center" w:yAlign="bottom"/>
      <w:spacing w:after="240"/>
      <w:ind w:left="2880"/>
      <w:contextualSpacing/>
    </w:pPr>
    <w:rPr>
      <w:rFonts w:cs="Arial"/>
    </w:rPr>
  </w:style>
  <w:style w:type="paragraph" w:styleId="EnvelopeReturn">
    <w:name w:val="envelope return"/>
    <w:basedOn w:val="FTLFNormal"/>
    <w:semiHidden/>
    <w:rsid w:val="000C19A4"/>
    <w:pPr>
      <w:spacing w:after="240"/>
      <w:contextualSpacing/>
    </w:pPr>
    <w:rPr>
      <w:rFonts w:cs="Arial"/>
      <w:sz w:val="20"/>
      <w:szCs w:val="20"/>
    </w:rPr>
  </w:style>
  <w:style w:type="paragraph" w:styleId="Footer">
    <w:name w:val="footer"/>
    <w:basedOn w:val="FTLFNormal"/>
    <w:rsid w:val="000C19A4"/>
    <w:pPr>
      <w:tabs>
        <w:tab w:val="center" w:pos="4680"/>
        <w:tab w:val="right" w:pos="9360"/>
      </w:tabs>
    </w:pPr>
  </w:style>
  <w:style w:type="character" w:styleId="FootnoteReference">
    <w:name w:val="footnote reference"/>
    <w:rsid w:val="000C19A4"/>
    <w:rPr>
      <w:vertAlign w:val="superscript"/>
    </w:rPr>
  </w:style>
  <w:style w:type="paragraph" w:styleId="FootnoteText">
    <w:name w:val="footnote text"/>
    <w:basedOn w:val="FTLFNormal"/>
    <w:rsid w:val="000C19A4"/>
    <w:pPr>
      <w:spacing w:before="60" w:after="60"/>
      <w:ind w:firstLine="720"/>
    </w:pPr>
    <w:rPr>
      <w:sz w:val="20"/>
      <w:szCs w:val="20"/>
    </w:rPr>
  </w:style>
  <w:style w:type="paragraph" w:styleId="Header">
    <w:name w:val="header"/>
    <w:basedOn w:val="FTLFNormal"/>
    <w:next w:val="BodyText"/>
    <w:rsid w:val="000C19A4"/>
    <w:pPr>
      <w:tabs>
        <w:tab w:val="center" w:pos="4680"/>
        <w:tab w:val="right" w:pos="9360"/>
      </w:tabs>
    </w:pPr>
  </w:style>
  <w:style w:type="character" w:styleId="HTMLAcronym">
    <w:name w:val="HTML Acronym"/>
    <w:basedOn w:val="DefaultParagraphFont"/>
    <w:semiHidden/>
    <w:rsid w:val="000C19A4"/>
  </w:style>
  <w:style w:type="paragraph" w:styleId="HTMLAddress">
    <w:name w:val="HTML Address"/>
    <w:basedOn w:val="FTLFNormal"/>
    <w:semiHidden/>
    <w:rsid w:val="000C19A4"/>
    <w:rPr>
      <w:i/>
      <w:iCs/>
    </w:rPr>
  </w:style>
  <w:style w:type="character" w:styleId="HTMLCite">
    <w:name w:val="HTML Cite"/>
    <w:semiHidden/>
    <w:rsid w:val="000C19A4"/>
    <w:rPr>
      <w:i/>
      <w:iCs/>
    </w:rPr>
  </w:style>
  <w:style w:type="character" w:styleId="HTMLCode">
    <w:name w:val="HTML Code"/>
    <w:semiHidden/>
    <w:rsid w:val="000C19A4"/>
    <w:rPr>
      <w:rFonts w:ascii="Courier New" w:hAnsi="Courier New" w:cs="Courier New"/>
      <w:sz w:val="20"/>
      <w:szCs w:val="20"/>
    </w:rPr>
  </w:style>
  <w:style w:type="character" w:styleId="HTMLDefinition">
    <w:name w:val="HTML Definition"/>
    <w:semiHidden/>
    <w:rsid w:val="000C19A4"/>
    <w:rPr>
      <w:i/>
      <w:iCs/>
    </w:rPr>
  </w:style>
  <w:style w:type="character" w:styleId="HTMLKeyboard">
    <w:name w:val="HTML Keyboard"/>
    <w:semiHidden/>
    <w:rsid w:val="000C19A4"/>
    <w:rPr>
      <w:rFonts w:ascii="Courier New" w:hAnsi="Courier New" w:cs="Courier New"/>
      <w:sz w:val="20"/>
      <w:szCs w:val="20"/>
    </w:rPr>
  </w:style>
  <w:style w:type="paragraph" w:styleId="HTMLPreformatted">
    <w:name w:val="HTML Preformatted"/>
    <w:basedOn w:val="FTLFNormal"/>
    <w:semiHidden/>
    <w:rsid w:val="000C19A4"/>
    <w:rPr>
      <w:rFonts w:ascii="Courier New" w:hAnsi="Courier New" w:cs="Courier New"/>
      <w:sz w:val="20"/>
      <w:szCs w:val="20"/>
    </w:rPr>
  </w:style>
  <w:style w:type="character" w:styleId="HTMLSample">
    <w:name w:val="HTML Sample"/>
    <w:semiHidden/>
    <w:rsid w:val="000C19A4"/>
    <w:rPr>
      <w:rFonts w:ascii="Courier New" w:hAnsi="Courier New" w:cs="Courier New"/>
    </w:rPr>
  </w:style>
  <w:style w:type="character" w:styleId="HTMLTypewriter">
    <w:name w:val="HTML Typewriter"/>
    <w:semiHidden/>
    <w:rsid w:val="000C19A4"/>
    <w:rPr>
      <w:rFonts w:ascii="Courier New" w:hAnsi="Courier New" w:cs="Courier New"/>
      <w:sz w:val="20"/>
      <w:szCs w:val="20"/>
    </w:rPr>
  </w:style>
  <w:style w:type="character" w:styleId="HTMLVariable">
    <w:name w:val="HTML Variable"/>
    <w:semiHidden/>
    <w:rsid w:val="000C19A4"/>
    <w:rPr>
      <w:i/>
      <w:iCs/>
    </w:rPr>
  </w:style>
  <w:style w:type="character" w:styleId="Hyperlink">
    <w:name w:val="Hyperlink"/>
    <w:semiHidden/>
    <w:rsid w:val="000C19A4"/>
    <w:rPr>
      <w:color w:val="0000FF"/>
      <w:u w:val="single"/>
    </w:rPr>
  </w:style>
  <w:style w:type="numbering" w:customStyle="1" w:styleId="IA1a1">
    <w:name w:val="I./A./1./a./(1)"/>
    <w:basedOn w:val="NoList"/>
    <w:rsid w:val="000C19A4"/>
    <w:pPr>
      <w:numPr>
        <w:numId w:val="9"/>
      </w:numPr>
    </w:pPr>
  </w:style>
  <w:style w:type="paragraph" w:styleId="Index1">
    <w:name w:val="index 1"/>
    <w:basedOn w:val="FTLFNormal"/>
    <w:autoRedefine/>
    <w:semiHidden/>
    <w:rsid w:val="000C19A4"/>
    <w:pPr>
      <w:ind w:left="240" w:hanging="240"/>
    </w:pPr>
  </w:style>
  <w:style w:type="paragraph" w:styleId="Index2">
    <w:name w:val="index 2"/>
    <w:basedOn w:val="Index1"/>
    <w:autoRedefine/>
    <w:semiHidden/>
    <w:rsid w:val="000C19A4"/>
    <w:pPr>
      <w:ind w:left="480"/>
    </w:pPr>
  </w:style>
  <w:style w:type="paragraph" w:styleId="Index3">
    <w:name w:val="index 3"/>
    <w:basedOn w:val="Index1"/>
    <w:autoRedefine/>
    <w:semiHidden/>
    <w:rsid w:val="000C19A4"/>
    <w:pPr>
      <w:ind w:left="720"/>
    </w:pPr>
  </w:style>
  <w:style w:type="paragraph" w:styleId="Index4">
    <w:name w:val="index 4"/>
    <w:basedOn w:val="Index1"/>
    <w:autoRedefine/>
    <w:semiHidden/>
    <w:rsid w:val="000C19A4"/>
    <w:pPr>
      <w:ind w:left="960"/>
    </w:pPr>
  </w:style>
  <w:style w:type="paragraph" w:styleId="Index5">
    <w:name w:val="index 5"/>
    <w:basedOn w:val="Index1"/>
    <w:autoRedefine/>
    <w:semiHidden/>
    <w:rsid w:val="000C19A4"/>
    <w:pPr>
      <w:ind w:left="1200"/>
    </w:pPr>
  </w:style>
  <w:style w:type="paragraph" w:styleId="Index6">
    <w:name w:val="index 6"/>
    <w:basedOn w:val="Index1"/>
    <w:autoRedefine/>
    <w:semiHidden/>
    <w:rsid w:val="000C19A4"/>
    <w:pPr>
      <w:ind w:left="1440"/>
    </w:pPr>
  </w:style>
  <w:style w:type="paragraph" w:styleId="Index7">
    <w:name w:val="index 7"/>
    <w:basedOn w:val="Index1"/>
    <w:autoRedefine/>
    <w:semiHidden/>
    <w:rsid w:val="000C19A4"/>
    <w:pPr>
      <w:ind w:left="1680"/>
    </w:pPr>
  </w:style>
  <w:style w:type="paragraph" w:styleId="Index8">
    <w:name w:val="index 8"/>
    <w:basedOn w:val="Index1"/>
    <w:autoRedefine/>
    <w:semiHidden/>
    <w:rsid w:val="000C19A4"/>
    <w:pPr>
      <w:ind w:left="1920"/>
    </w:pPr>
  </w:style>
  <w:style w:type="paragraph" w:styleId="Index9">
    <w:name w:val="index 9"/>
    <w:basedOn w:val="Index1"/>
    <w:autoRedefine/>
    <w:semiHidden/>
    <w:rsid w:val="000C19A4"/>
    <w:pPr>
      <w:ind w:left="2160"/>
    </w:pPr>
  </w:style>
  <w:style w:type="paragraph" w:styleId="IndexHeading">
    <w:name w:val="index heading"/>
    <w:basedOn w:val="FTLFNormal"/>
    <w:next w:val="Index1"/>
    <w:semiHidden/>
    <w:rsid w:val="000C19A4"/>
    <w:rPr>
      <w:rFonts w:cs="Arial"/>
      <w:b/>
      <w:bCs/>
    </w:rPr>
  </w:style>
  <w:style w:type="paragraph" w:styleId="List">
    <w:name w:val="List"/>
    <w:basedOn w:val="FTLFNormal"/>
    <w:semiHidden/>
    <w:rsid w:val="000C19A4"/>
    <w:pPr>
      <w:ind w:left="360" w:hanging="360"/>
    </w:pPr>
  </w:style>
  <w:style w:type="paragraph" w:styleId="List2">
    <w:name w:val="List 2"/>
    <w:basedOn w:val="List"/>
    <w:semiHidden/>
    <w:rsid w:val="000C19A4"/>
    <w:pPr>
      <w:ind w:left="720"/>
    </w:pPr>
  </w:style>
  <w:style w:type="paragraph" w:styleId="List3">
    <w:name w:val="List 3"/>
    <w:basedOn w:val="List"/>
    <w:semiHidden/>
    <w:rsid w:val="000C19A4"/>
    <w:pPr>
      <w:ind w:left="1080"/>
    </w:pPr>
  </w:style>
  <w:style w:type="paragraph" w:styleId="List4">
    <w:name w:val="List 4"/>
    <w:basedOn w:val="List"/>
    <w:semiHidden/>
    <w:rsid w:val="000C19A4"/>
    <w:pPr>
      <w:ind w:left="1440"/>
    </w:pPr>
  </w:style>
  <w:style w:type="paragraph" w:styleId="List5">
    <w:name w:val="List 5"/>
    <w:basedOn w:val="List"/>
    <w:semiHidden/>
    <w:rsid w:val="000C19A4"/>
    <w:pPr>
      <w:ind w:left="1800"/>
    </w:pPr>
  </w:style>
  <w:style w:type="paragraph" w:styleId="ListBullet">
    <w:name w:val="List Bullet"/>
    <w:basedOn w:val="FTLFNormal"/>
    <w:rsid w:val="000C19A4"/>
    <w:pPr>
      <w:numPr>
        <w:numId w:val="11"/>
      </w:numPr>
      <w:spacing w:after="240"/>
    </w:pPr>
  </w:style>
  <w:style w:type="paragraph" w:styleId="ListBullet2">
    <w:name w:val="List Bullet 2"/>
    <w:basedOn w:val="ListBullet"/>
    <w:autoRedefine/>
    <w:rsid w:val="000C19A4"/>
    <w:pPr>
      <w:numPr>
        <w:numId w:val="13"/>
      </w:numPr>
    </w:pPr>
  </w:style>
  <w:style w:type="paragraph" w:styleId="ListBullet3">
    <w:name w:val="List Bullet 3"/>
    <w:basedOn w:val="ListBullet"/>
    <w:autoRedefine/>
    <w:rsid w:val="000C19A4"/>
    <w:pPr>
      <w:numPr>
        <w:numId w:val="15"/>
      </w:numPr>
    </w:pPr>
  </w:style>
  <w:style w:type="paragraph" w:styleId="ListBullet4">
    <w:name w:val="List Bullet 4"/>
    <w:basedOn w:val="ListBullet"/>
    <w:autoRedefine/>
    <w:rsid w:val="000C19A4"/>
    <w:pPr>
      <w:numPr>
        <w:numId w:val="17"/>
      </w:numPr>
    </w:pPr>
  </w:style>
  <w:style w:type="paragraph" w:styleId="ListBullet5">
    <w:name w:val="List Bullet 5"/>
    <w:basedOn w:val="ListBullet"/>
    <w:autoRedefine/>
    <w:rsid w:val="000C19A4"/>
    <w:pPr>
      <w:numPr>
        <w:numId w:val="19"/>
      </w:numPr>
    </w:pPr>
  </w:style>
  <w:style w:type="paragraph" w:styleId="ListContinue">
    <w:name w:val="List Continue"/>
    <w:basedOn w:val="FTLFNormal"/>
    <w:rsid w:val="000C19A4"/>
    <w:pPr>
      <w:spacing w:after="120"/>
      <w:ind w:left="360"/>
    </w:pPr>
  </w:style>
  <w:style w:type="paragraph" w:styleId="ListContinue2">
    <w:name w:val="List Continue 2"/>
    <w:basedOn w:val="ListContinue"/>
    <w:semiHidden/>
    <w:rsid w:val="000C19A4"/>
    <w:pPr>
      <w:ind w:left="720"/>
    </w:pPr>
  </w:style>
  <w:style w:type="paragraph" w:styleId="ListContinue3">
    <w:name w:val="List Continue 3"/>
    <w:basedOn w:val="ListContinue"/>
    <w:semiHidden/>
    <w:rsid w:val="000C19A4"/>
    <w:pPr>
      <w:ind w:left="1080"/>
    </w:pPr>
  </w:style>
  <w:style w:type="paragraph" w:styleId="ListContinue4">
    <w:name w:val="List Continue 4"/>
    <w:basedOn w:val="ListContinue"/>
    <w:semiHidden/>
    <w:rsid w:val="000C19A4"/>
    <w:pPr>
      <w:ind w:left="1440"/>
    </w:pPr>
  </w:style>
  <w:style w:type="paragraph" w:styleId="ListContinue5">
    <w:name w:val="List Continue 5"/>
    <w:basedOn w:val="ListContinue"/>
    <w:semiHidden/>
    <w:rsid w:val="000C19A4"/>
    <w:pPr>
      <w:ind w:left="1800"/>
    </w:pPr>
  </w:style>
  <w:style w:type="paragraph" w:styleId="ListNumber">
    <w:name w:val="List Number"/>
    <w:basedOn w:val="FTLFNormal"/>
    <w:rsid w:val="000C19A4"/>
    <w:pPr>
      <w:numPr>
        <w:numId w:val="21"/>
      </w:numPr>
      <w:spacing w:after="240"/>
    </w:pPr>
  </w:style>
  <w:style w:type="paragraph" w:styleId="ListNumber2">
    <w:name w:val="List Number 2"/>
    <w:basedOn w:val="ListNumber"/>
    <w:rsid w:val="000C19A4"/>
    <w:pPr>
      <w:numPr>
        <w:numId w:val="23"/>
      </w:numPr>
    </w:pPr>
  </w:style>
  <w:style w:type="paragraph" w:styleId="ListNumber3">
    <w:name w:val="List Number 3"/>
    <w:basedOn w:val="ListNumber"/>
    <w:rsid w:val="000C19A4"/>
    <w:pPr>
      <w:numPr>
        <w:numId w:val="25"/>
      </w:numPr>
    </w:pPr>
  </w:style>
  <w:style w:type="paragraph" w:styleId="ListNumber4">
    <w:name w:val="List Number 4"/>
    <w:basedOn w:val="ListNumber"/>
    <w:rsid w:val="000C19A4"/>
    <w:pPr>
      <w:numPr>
        <w:numId w:val="27"/>
      </w:numPr>
    </w:pPr>
  </w:style>
  <w:style w:type="paragraph" w:styleId="ListNumber5">
    <w:name w:val="List Number 5"/>
    <w:basedOn w:val="ListNumber"/>
    <w:rsid w:val="000C19A4"/>
    <w:pPr>
      <w:numPr>
        <w:numId w:val="29"/>
      </w:numPr>
    </w:pPr>
  </w:style>
  <w:style w:type="paragraph" w:styleId="MessageHeader">
    <w:name w:val="Message Header"/>
    <w:basedOn w:val="FTLFNormal"/>
    <w:semiHidden/>
    <w:rsid w:val="000C19A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cs="Arial"/>
    </w:rPr>
  </w:style>
  <w:style w:type="paragraph" w:styleId="NormalWeb">
    <w:name w:val="Normal (Web)"/>
    <w:basedOn w:val="FTLFNormal"/>
    <w:semiHidden/>
    <w:rsid w:val="000C19A4"/>
  </w:style>
  <w:style w:type="paragraph" w:styleId="NormalIndent">
    <w:name w:val="Normal Indent"/>
    <w:basedOn w:val="FTLFNormal"/>
    <w:semiHidden/>
    <w:rsid w:val="000C19A4"/>
    <w:pPr>
      <w:ind w:left="720"/>
    </w:pPr>
  </w:style>
  <w:style w:type="paragraph" w:styleId="NoteHeading">
    <w:name w:val="Note Heading"/>
    <w:basedOn w:val="FTLFNormal"/>
    <w:next w:val="BodyText"/>
    <w:semiHidden/>
    <w:rsid w:val="000C19A4"/>
  </w:style>
  <w:style w:type="character" w:styleId="PageNumber">
    <w:name w:val="page number"/>
    <w:basedOn w:val="DefaultParagraphFont"/>
    <w:rsid w:val="000C19A4"/>
  </w:style>
  <w:style w:type="paragraph" w:styleId="PlainText">
    <w:name w:val="Plain Text"/>
    <w:basedOn w:val="FTLFNormal"/>
    <w:semiHidden/>
    <w:rsid w:val="000C19A4"/>
    <w:rPr>
      <w:rFonts w:ascii="Courier New" w:hAnsi="Courier New" w:cs="Courier New"/>
      <w:sz w:val="20"/>
      <w:szCs w:val="20"/>
    </w:rPr>
  </w:style>
  <w:style w:type="paragraph" w:customStyle="1" w:styleId="Privileged">
    <w:name w:val="Privileged"/>
    <w:basedOn w:val="Date"/>
    <w:rsid w:val="000C19A4"/>
    <w:pPr>
      <w:contextualSpacing/>
    </w:pPr>
    <w:rPr>
      <w:rFonts w:ascii="Times New Roman Bold" w:hAnsi="Times New Roman Bold"/>
      <w:b/>
      <w:caps/>
    </w:rPr>
  </w:style>
  <w:style w:type="paragraph" w:customStyle="1" w:styleId="QuoteText">
    <w:name w:val="Quote Text"/>
    <w:aliases w:val="QT"/>
    <w:basedOn w:val="FTLFNormal"/>
    <w:next w:val="BodyText"/>
    <w:rsid w:val="000C19A4"/>
    <w:pPr>
      <w:spacing w:after="240"/>
      <w:ind w:left="1440" w:right="1440"/>
    </w:pPr>
  </w:style>
  <w:style w:type="paragraph" w:customStyle="1" w:styleId="ReLine">
    <w:name w:val="Re: Line"/>
    <w:basedOn w:val="FTLFNormal"/>
    <w:next w:val="BodyText"/>
    <w:rsid w:val="000C19A4"/>
    <w:pPr>
      <w:tabs>
        <w:tab w:val="left" w:pos="1260"/>
      </w:tabs>
      <w:spacing w:after="240"/>
      <w:ind w:left="1267" w:hanging="547"/>
      <w:contextualSpacing/>
    </w:pPr>
  </w:style>
  <w:style w:type="paragraph" w:styleId="Salutation">
    <w:name w:val="Salutation"/>
    <w:basedOn w:val="FTLFNormal"/>
    <w:next w:val="Normal"/>
    <w:rsid w:val="000C19A4"/>
  </w:style>
  <w:style w:type="paragraph" w:customStyle="1" w:styleId="SignatureBlock">
    <w:name w:val="Signature Block"/>
    <w:basedOn w:val="FTLFNormal"/>
    <w:rsid w:val="000C19A4"/>
    <w:pPr>
      <w:tabs>
        <w:tab w:val="left" w:pos="5040"/>
        <w:tab w:val="right" w:leader="underscore" w:pos="9360"/>
      </w:tabs>
      <w:spacing w:after="720"/>
      <w:ind w:left="4320"/>
      <w:contextualSpacing/>
    </w:pPr>
  </w:style>
  <w:style w:type="paragraph" w:styleId="Subtitle">
    <w:name w:val="Subtitle"/>
    <w:basedOn w:val="FTLFNormal"/>
    <w:next w:val="BodyText"/>
    <w:qFormat/>
    <w:rsid w:val="000C19A4"/>
    <w:pPr>
      <w:keepNext/>
      <w:spacing w:after="240"/>
      <w:jc w:val="center"/>
    </w:pPr>
    <w:rPr>
      <w:rFonts w:cs="Arial"/>
      <w:b/>
    </w:rPr>
  </w:style>
  <w:style w:type="table" w:styleId="Table3Deffects1">
    <w:name w:val="Table 3D effects 1"/>
    <w:basedOn w:val="TableNormal"/>
    <w:semiHidden/>
    <w:rsid w:val="000C19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19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19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19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19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19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19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19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19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19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19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19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19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19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19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C19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C19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C19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C19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19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19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19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19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19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19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19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19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19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19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19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FTLFNormal"/>
    <w:rsid w:val="000C19A4"/>
    <w:pPr>
      <w:spacing w:after="120"/>
      <w:ind w:left="245" w:hanging="245"/>
    </w:pPr>
  </w:style>
  <w:style w:type="paragraph" w:styleId="TableofFigures">
    <w:name w:val="table of figures"/>
    <w:basedOn w:val="FTLFNormal"/>
    <w:next w:val="BodyText"/>
    <w:semiHidden/>
    <w:rsid w:val="000C19A4"/>
    <w:pPr>
      <w:ind w:left="480" w:hanging="480"/>
    </w:pPr>
  </w:style>
  <w:style w:type="table" w:styleId="TableProfessional">
    <w:name w:val="Table Professional"/>
    <w:basedOn w:val="TableNormal"/>
    <w:semiHidden/>
    <w:rsid w:val="000C19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19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19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19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19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19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1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1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19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19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FTLFNormal"/>
    <w:next w:val="BodyText"/>
    <w:qFormat/>
    <w:rsid w:val="000C19A4"/>
    <w:pPr>
      <w:keepNext/>
      <w:spacing w:after="240"/>
      <w:jc w:val="center"/>
    </w:pPr>
    <w:rPr>
      <w:rFonts w:cs="Arial"/>
      <w:b/>
      <w:bCs/>
      <w:caps/>
    </w:rPr>
  </w:style>
  <w:style w:type="paragraph" w:styleId="TOAHeading">
    <w:name w:val="toa heading"/>
    <w:basedOn w:val="FTLFNormal"/>
    <w:next w:val="TableofAuthorities"/>
    <w:rsid w:val="000C19A4"/>
    <w:pPr>
      <w:spacing w:after="240"/>
    </w:pPr>
    <w:rPr>
      <w:rFonts w:ascii="Times New Roman Bold" w:hAnsi="Times New Roman Bold" w:cs="Arial"/>
      <w:b/>
      <w:bCs/>
      <w:caps/>
    </w:rPr>
  </w:style>
  <w:style w:type="paragraph" w:styleId="TOC1">
    <w:name w:val="toc 1"/>
    <w:basedOn w:val="FTLFNormal"/>
    <w:next w:val="BodyText"/>
    <w:autoRedefine/>
    <w:rsid w:val="000C19A4"/>
    <w:pPr>
      <w:tabs>
        <w:tab w:val="right" w:leader="dot" w:pos="9360"/>
      </w:tabs>
      <w:spacing w:before="120"/>
      <w:ind w:left="720" w:right="720" w:hanging="720"/>
    </w:pPr>
  </w:style>
  <w:style w:type="paragraph" w:styleId="TOC2">
    <w:name w:val="toc 2"/>
    <w:basedOn w:val="FTLFNormal"/>
    <w:next w:val="BodyText"/>
    <w:autoRedefine/>
    <w:rsid w:val="000C19A4"/>
    <w:pPr>
      <w:tabs>
        <w:tab w:val="right" w:leader="dot" w:pos="9360"/>
      </w:tabs>
      <w:ind w:left="1440" w:right="720" w:hanging="720"/>
    </w:pPr>
  </w:style>
  <w:style w:type="paragraph" w:styleId="TOC3">
    <w:name w:val="toc 3"/>
    <w:basedOn w:val="FTLFNormal"/>
    <w:next w:val="BodyText"/>
    <w:autoRedefine/>
    <w:rsid w:val="000C19A4"/>
    <w:pPr>
      <w:tabs>
        <w:tab w:val="right" w:leader="dot" w:pos="9360"/>
      </w:tabs>
      <w:ind w:left="2160" w:right="720" w:hanging="720"/>
    </w:pPr>
  </w:style>
  <w:style w:type="paragraph" w:styleId="TOC4">
    <w:name w:val="toc 4"/>
    <w:basedOn w:val="FTLFNormal"/>
    <w:next w:val="BodyText"/>
    <w:autoRedefine/>
    <w:rsid w:val="000C19A4"/>
    <w:pPr>
      <w:tabs>
        <w:tab w:val="right" w:leader="dot" w:pos="9360"/>
      </w:tabs>
      <w:ind w:left="2880" w:right="720" w:hanging="720"/>
    </w:pPr>
  </w:style>
  <w:style w:type="paragraph" w:styleId="TOC5">
    <w:name w:val="toc 5"/>
    <w:basedOn w:val="FTLFNormal"/>
    <w:next w:val="BodyText"/>
    <w:autoRedefine/>
    <w:rsid w:val="000C19A4"/>
    <w:pPr>
      <w:tabs>
        <w:tab w:val="right" w:leader="dot" w:pos="9360"/>
      </w:tabs>
      <w:ind w:left="3600" w:right="720" w:hanging="720"/>
    </w:pPr>
  </w:style>
  <w:style w:type="paragraph" w:styleId="TOC6">
    <w:name w:val="toc 6"/>
    <w:basedOn w:val="FTLFNormal"/>
    <w:next w:val="BodyText"/>
    <w:autoRedefine/>
    <w:rsid w:val="000C19A4"/>
    <w:pPr>
      <w:tabs>
        <w:tab w:val="right" w:leader="dot" w:pos="9360"/>
      </w:tabs>
      <w:ind w:left="4320" w:right="720" w:hanging="720"/>
    </w:pPr>
  </w:style>
  <w:style w:type="paragraph" w:styleId="TOC7">
    <w:name w:val="toc 7"/>
    <w:basedOn w:val="FTLFNormal"/>
    <w:next w:val="BodyText"/>
    <w:autoRedefine/>
    <w:rsid w:val="000C19A4"/>
    <w:pPr>
      <w:tabs>
        <w:tab w:val="right" w:leader="dot" w:pos="9360"/>
      </w:tabs>
      <w:ind w:left="5040" w:right="720" w:hanging="720"/>
    </w:pPr>
  </w:style>
  <w:style w:type="paragraph" w:styleId="TOC8">
    <w:name w:val="toc 8"/>
    <w:basedOn w:val="FTLFNormal"/>
    <w:next w:val="BodyText"/>
    <w:autoRedefine/>
    <w:rsid w:val="000C19A4"/>
    <w:pPr>
      <w:tabs>
        <w:tab w:val="right" w:pos="9360"/>
      </w:tabs>
      <w:ind w:left="5760" w:right="720" w:hanging="720"/>
    </w:pPr>
  </w:style>
  <w:style w:type="paragraph" w:styleId="TOC9">
    <w:name w:val="toc 9"/>
    <w:basedOn w:val="FTLFNormal"/>
    <w:next w:val="BodyText"/>
    <w:autoRedefine/>
    <w:rsid w:val="000C19A4"/>
    <w:pPr>
      <w:tabs>
        <w:tab w:val="right" w:pos="9360"/>
      </w:tabs>
      <w:ind w:left="6480" w:right="720" w:hanging="720"/>
    </w:pPr>
  </w:style>
  <w:style w:type="character" w:customStyle="1" w:styleId="WorkFooter">
    <w:name w:val="WorkFooter"/>
    <w:rsid w:val="000C19A4"/>
    <w:rPr>
      <w:rFonts w:ascii="Times New Roman" w:hAnsi="Times New Roman"/>
      <w:dstrike w:val="0"/>
      <w:w w:val="100"/>
      <w:kern w:val="0"/>
      <w:sz w:val="14"/>
      <w:szCs w:val="14"/>
      <w:u w:val="none"/>
      <w:vertAlign w:val="baseline"/>
    </w:rPr>
  </w:style>
  <w:style w:type="character" w:customStyle="1" w:styleId="FeldHeader">
    <w:name w:val="FeldHeader"/>
    <w:rsid w:val="000D6867"/>
    <w:rPr>
      <w:position w:val="164"/>
    </w:rPr>
  </w:style>
  <w:style w:type="paragraph" w:customStyle="1" w:styleId="Logo">
    <w:name w:val="Logo"/>
    <w:basedOn w:val="Normal"/>
    <w:rsid w:val="00497F98"/>
    <w:pPr>
      <w:ind w:left="6120"/>
    </w:pPr>
    <w:rPr>
      <w:rFonts w:ascii="Footlight MT Light" w:hAnsi="Footlight MT Light"/>
      <w:b/>
      <w:bCs/>
      <w:iCs/>
      <w:spacing w:val="-5"/>
    </w:rPr>
  </w:style>
  <w:style w:type="character" w:styleId="CommentReference">
    <w:name w:val="annotation reference"/>
    <w:semiHidden/>
    <w:rsid w:val="009808E9"/>
    <w:rPr>
      <w:sz w:val="16"/>
      <w:szCs w:val="16"/>
    </w:rPr>
  </w:style>
  <w:style w:type="paragraph" w:styleId="ListParagraph">
    <w:name w:val="List Paragraph"/>
    <w:basedOn w:val="Normal"/>
    <w:uiPriority w:val="34"/>
    <w:qFormat/>
    <w:rsid w:val="00CF1C1A"/>
    <w:pPr>
      <w:ind w:left="720"/>
    </w:pPr>
  </w:style>
  <w:style w:type="paragraph" w:styleId="CommentSubject">
    <w:name w:val="annotation subject"/>
    <w:basedOn w:val="CommentText"/>
    <w:next w:val="CommentText"/>
    <w:link w:val="CommentSubjectChar"/>
    <w:uiPriority w:val="99"/>
    <w:semiHidden/>
    <w:unhideWhenUsed/>
    <w:rsid w:val="00E25CE5"/>
    <w:rPr>
      <w:b/>
      <w:bCs/>
      <w:kern w:val="0"/>
    </w:rPr>
  </w:style>
  <w:style w:type="character" w:customStyle="1" w:styleId="FTLFNormalChar">
    <w:name w:val="FTLFNormal Char"/>
    <w:link w:val="FTLFNormal"/>
    <w:rsid w:val="00E25CE5"/>
    <w:rPr>
      <w:kern w:val="24"/>
      <w:sz w:val="24"/>
      <w:szCs w:val="24"/>
    </w:rPr>
  </w:style>
  <w:style w:type="character" w:customStyle="1" w:styleId="CommentTextChar">
    <w:name w:val="Comment Text Char"/>
    <w:basedOn w:val="FTLFNormalChar"/>
    <w:link w:val="CommentText"/>
    <w:semiHidden/>
    <w:rsid w:val="00E25CE5"/>
    <w:rPr>
      <w:kern w:val="24"/>
      <w:sz w:val="24"/>
      <w:szCs w:val="24"/>
    </w:rPr>
  </w:style>
  <w:style w:type="character" w:customStyle="1" w:styleId="CommentSubjectChar">
    <w:name w:val="Comment Subject Char"/>
    <w:link w:val="CommentSubject"/>
    <w:uiPriority w:val="99"/>
    <w:semiHidden/>
    <w:rsid w:val="00E25CE5"/>
    <w:rPr>
      <w:b/>
      <w:bCs/>
      <w:kern w:val="24"/>
      <w:sz w:val="24"/>
      <w:szCs w:val="24"/>
    </w:rPr>
  </w:style>
  <w:style w:type="paragraph" w:customStyle="1" w:styleId="3">
    <w:name w:val="3)"/>
    <w:basedOn w:val="Normal"/>
    <w:rsid w:val="00CB45F2"/>
    <w:pPr>
      <w:jc w:val="both"/>
    </w:pPr>
    <w:rPr>
      <w:szCs w:val="20"/>
    </w:rPr>
  </w:style>
  <w:style w:type="paragraph" w:styleId="Revision">
    <w:name w:val="Revision"/>
    <w:hidden/>
    <w:uiPriority w:val="99"/>
    <w:semiHidden/>
    <w:rsid w:val="00F32D42"/>
    <w:rPr>
      <w:sz w:val="24"/>
      <w:szCs w:val="24"/>
    </w:rPr>
  </w:style>
  <w:style w:type="character" w:styleId="FollowedHyperlink">
    <w:name w:val="FollowedHyperlink"/>
    <w:basedOn w:val="DefaultParagraphFont"/>
    <w:uiPriority w:val="99"/>
    <w:semiHidden/>
    <w:unhideWhenUsed/>
    <w:rsid w:val="002F1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spe.hhs.gov/poverty/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7912-C875-4E62-9950-F50EDC2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Policy and Procedure</vt:lpstr>
    </vt:vector>
  </TitlesOfParts>
  <Company>Feldesman Tucker Leifer Fidell LLP</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dc:title>
  <dc:creator>Uri Bilek</dc:creator>
  <cp:lastModifiedBy>Pledgie, Dianne</cp:lastModifiedBy>
  <cp:revision>2</cp:revision>
  <cp:lastPrinted>2015-09-30T12:34:00Z</cp:lastPrinted>
  <dcterms:created xsi:type="dcterms:W3CDTF">2016-02-15T14:58:00Z</dcterms:created>
  <dcterms:modified xsi:type="dcterms:W3CDTF">2016-02-15T14:58:00Z</dcterms:modified>
</cp:coreProperties>
</file>