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99" w:rsidRPr="00E91960" w:rsidRDefault="00403599" w:rsidP="00403599">
      <w:pPr>
        <w:autoSpaceDE w:val="0"/>
        <w:autoSpaceDN w:val="0"/>
        <w:adjustRightInd w:val="0"/>
        <w:spacing w:before="11"/>
        <w:jc w:val="center"/>
        <w:rPr>
          <w:b/>
          <w:bCs w:val="0"/>
          <w:spacing w:val="0"/>
          <w:kern w:val="2"/>
          <w:sz w:val="32"/>
          <w:szCs w:val="28"/>
        </w:rPr>
      </w:pPr>
      <w:r w:rsidRPr="00E91960">
        <w:rPr>
          <w:b/>
          <w:spacing w:val="0"/>
          <w:kern w:val="2"/>
          <w:sz w:val="32"/>
          <w:szCs w:val="28"/>
        </w:rPr>
        <w:t>Unrelated Business Activities</w:t>
      </w:r>
      <w:r w:rsidR="00C00A05" w:rsidRPr="00E91960">
        <w:rPr>
          <w:b/>
          <w:spacing w:val="0"/>
          <w:kern w:val="2"/>
          <w:sz w:val="32"/>
          <w:szCs w:val="28"/>
        </w:rPr>
        <w:t>: Introductory Guidance</w:t>
      </w:r>
    </w:p>
    <w:p w:rsidR="00403599" w:rsidRPr="00E91960" w:rsidRDefault="00403599" w:rsidP="00403599">
      <w:pPr>
        <w:pBdr>
          <w:bottom w:val="single" w:sz="12" w:space="1" w:color="auto"/>
        </w:pBdr>
        <w:autoSpaceDE w:val="0"/>
        <w:autoSpaceDN w:val="0"/>
        <w:adjustRightInd w:val="0"/>
        <w:ind w:right="-20"/>
        <w:rPr>
          <w:b/>
          <w:bCs w:val="0"/>
          <w:spacing w:val="0"/>
          <w:kern w:val="2"/>
        </w:rPr>
      </w:pPr>
    </w:p>
    <w:p w:rsidR="0095769D" w:rsidRPr="00E91960" w:rsidRDefault="0095769D" w:rsidP="0095769D">
      <w:pPr>
        <w:pStyle w:val="Title"/>
        <w:jc w:val="left"/>
        <w:rPr>
          <w:rFonts w:ascii="Times New Roman" w:hAnsi="Times New Roman"/>
          <w:b w:val="0"/>
          <w:bCs w:val="0"/>
          <w:iCs/>
          <w:kern w:val="2"/>
          <w:sz w:val="24"/>
          <w:szCs w:val="24"/>
        </w:rPr>
      </w:pPr>
    </w:p>
    <w:p w:rsidR="0095769D" w:rsidRPr="00E91960" w:rsidRDefault="00600CBA" w:rsidP="00600CBA">
      <w:pPr>
        <w:pStyle w:val="Title"/>
        <w:jc w:val="left"/>
        <w:rPr>
          <w:rFonts w:ascii="Times New Roman" w:hAnsi="Times New Roman"/>
          <w:bCs w:val="0"/>
          <w:iCs/>
          <w:kern w:val="2"/>
          <w:sz w:val="24"/>
          <w:szCs w:val="24"/>
        </w:rPr>
      </w:pPr>
      <w:r w:rsidRPr="00E91960">
        <w:rPr>
          <w:rFonts w:ascii="Times New Roman" w:hAnsi="Times New Roman"/>
          <w:bCs w:val="0"/>
          <w:iCs/>
          <w:kern w:val="2"/>
          <w:sz w:val="24"/>
          <w:szCs w:val="24"/>
        </w:rPr>
        <w:t>Background</w:t>
      </w:r>
    </w:p>
    <w:p w:rsidR="0095769D" w:rsidRPr="00E91960" w:rsidRDefault="0095769D" w:rsidP="0095769D">
      <w:pPr>
        <w:widowControl w:val="0"/>
        <w:rPr>
          <w:spacing w:val="0"/>
          <w:kern w:val="2"/>
        </w:rPr>
      </w:pPr>
    </w:p>
    <w:p w:rsidR="0095769D" w:rsidRPr="00E91960" w:rsidRDefault="00600CBA" w:rsidP="00812ECB">
      <w:pPr>
        <w:widowControl w:val="0"/>
        <w:jc w:val="both"/>
        <w:rPr>
          <w:spacing w:val="0"/>
          <w:kern w:val="2"/>
        </w:rPr>
      </w:pPr>
      <w:r w:rsidRPr="00E91960">
        <w:rPr>
          <w:bCs w:val="0"/>
          <w:spacing w:val="0"/>
          <w:kern w:val="2"/>
        </w:rPr>
        <w:t xml:space="preserve">Membership dues paid to a </w:t>
      </w:r>
      <w:r w:rsidR="0095769D" w:rsidRPr="00E91960">
        <w:rPr>
          <w:bCs w:val="0"/>
          <w:spacing w:val="0"/>
          <w:kern w:val="2"/>
        </w:rPr>
        <w:t>PCA</w:t>
      </w:r>
      <w:r w:rsidRPr="00E91960">
        <w:rPr>
          <w:bCs w:val="0"/>
          <w:spacing w:val="0"/>
          <w:kern w:val="2"/>
        </w:rPr>
        <w:t>-HCCN</w:t>
      </w:r>
      <w:r w:rsidR="00533EB4" w:rsidRPr="00E91960">
        <w:rPr>
          <w:bCs w:val="0"/>
          <w:spacing w:val="0"/>
          <w:kern w:val="2"/>
        </w:rPr>
        <w:t xml:space="preserve"> </w:t>
      </w:r>
      <w:r w:rsidR="0095769D" w:rsidRPr="00E91960">
        <w:rPr>
          <w:bCs w:val="0"/>
          <w:spacing w:val="0"/>
          <w:kern w:val="2"/>
        </w:rPr>
        <w:t xml:space="preserve">are </w:t>
      </w:r>
      <w:r w:rsidRPr="00E91960">
        <w:rPr>
          <w:bCs w:val="0"/>
          <w:spacing w:val="0"/>
          <w:kern w:val="2"/>
        </w:rPr>
        <w:t xml:space="preserve">generally </w:t>
      </w:r>
      <w:r w:rsidR="0095769D" w:rsidRPr="00E91960">
        <w:rPr>
          <w:bCs w:val="0"/>
          <w:spacing w:val="0"/>
          <w:kern w:val="2"/>
        </w:rPr>
        <w:t>tax-exempt because the related business function of an association is to</w:t>
      </w:r>
      <w:r w:rsidR="00A82683" w:rsidRPr="00E91960">
        <w:rPr>
          <w:bCs w:val="0"/>
          <w:spacing w:val="0"/>
          <w:kern w:val="2"/>
        </w:rPr>
        <w:t xml:space="preserve"> provide services to members; h</w:t>
      </w:r>
      <w:r w:rsidR="0095769D" w:rsidRPr="00E91960">
        <w:rPr>
          <w:bCs w:val="0"/>
          <w:spacing w:val="0"/>
          <w:kern w:val="2"/>
        </w:rPr>
        <w:t xml:space="preserve">owever, </w:t>
      </w:r>
      <w:r w:rsidR="0095769D" w:rsidRPr="00E91960">
        <w:rPr>
          <w:spacing w:val="0"/>
          <w:kern w:val="2"/>
        </w:rPr>
        <w:t>Section 5</w:t>
      </w:r>
      <w:r w:rsidR="00A82683" w:rsidRPr="00E91960">
        <w:rPr>
          <w:spacing w:val="0"/>
          <w:kern w:val="2"/>
        </w:rPr>
        <w:t xml:space="preserve">01(c) organizations, such as </w:t>
      </w:r>
      <w:r w:rsidR="0095769D" w:rsidRPr="00E91960">
        <w:rPr>
          <w:spacing w:val="0"/>
          <w:kern w:val="2"/>
        </w:rPr>
        <w:t>PCAs</w:t>
      </w:r>
      <w:r w:rsidR="00A82683" w:rsidRPr="00E91960">
        <w:rPr>
          <w:spacing w:val="0"/>
          <w:kern w:val="2"/>
        </w:rPr>
        <w:t>-HCCNs</w:t>
      </w:r>
      <w:r w:rsidR="0095769D" w:rsidRPr="00E91960">
        <w:rPr>
          <w:spacing w:val="0"/>
          <w:kern w:val="2"/>
        </w:rPr>
        <w:t xml:space="preserve">, may generate income from business activities unrelated to their tax-exempt purpose (e.g., </w:t>
      </w:r>
      <w:r w:rsidR="0095769D" w:rsidRPr="00E91960">
        <w:rPr>
          <w:bCs w:val="0"/>
          <w:spacing w:val="0"/>
          <w:kern w:val="2"/>
        </w:rPr>
        <w:t>providing additional services to its members for a fee).</w:t>
      </w:r>
      <w:r w:rsidR="00A82683" w:rsidRPr="00E91960">
        <w:rPr>
          <w:spacing w:val="0"/>
          <w:kern w:val="2"/>
        </w:rPr>
        <w:t xml:space="preserve"> In such</w:t>
      </w:r>
      <w:r w:rsidR="0095769D" w:rsidRPr="00E91960">
        <w:rPr>
          <w:spacing w:val="0"/>
          <w:kern w:val="2"/>
        </w:rPr>
        <w:t xml:space="preserve"> cases, the IRS is likely to assert that the net income generated from such unrelated trade or business activities is subject to Unrelated</w:t>
      </w:r>
      <w:r w:rsidR="00A82683" w:rsidRPr="00E91960">
        <w:rPr>
          <w:spacing w:val="0"/>
          <w:kern w:val="2"/>
        </w:rPr>
        <w:t xml:space="preserve"> Business Income Tax (“UBIT”).</w:t>
      </w:r>
      <w:r w:rsidR="00A82683" w:rsidRPr="00E91960">
        <w:rPr>
          <w:rStyle w:val="FootnoteReference"/>
          <w:spacing w:val="0"/>
          <w:kern w:val="2"/>
        </w:rPr>
        <w:footnoteReference w:id="1"/>
      </w:r>
      <w:r w:rsidR="00A82683" w:rsidRPr="00E91960">
        <w:rPr>
          <w:spacing w:val="0"/>
          <w:kern w:val="2"/>
        </w:rPr>
        <w:t xml:space="preserve"> </w:t>
      </w:r>
      <w:r w:rsidR="00533EB4" w:rsidRPr="00E91960">
        <w:rPr>
          <w:spacing w:val="0"/>
          <w:kern w:val="2"/>
        </w:rPr>
        <w:t>T</w:t>
      </w:r>
      <w:r w:rsidR="00772DC5" w:rsidRPr="00E91960">
        <w:rPr>
          <w:spacing w:val="0"/>
          <w:kern w:val="2"/>
        </w:rPr>
        <w:t xml:space="preserve">o the extent that a </w:t>
      </w:r>
      <w:r w:rsidR="0095769D" w:rsidRPr="00E91960">
        <w:rPr>
          <w:spacing w:val="0"/>
          <w:kern w:val="2"/>
        </w:rPr>
        <w:t>PCA</w:t>
      </w:r>
      <w:r w:rsidR="00772DC5" w:rsidRPr="00E91960">
        <w:rPr>
          <w:spacing w:val="0"/>
          <w:kern w:val="2"/>
        </w:rPr>
        <w:t>-HCCN</w:t>
      </w:r>
      <w:r w:rsidR="0095769D" w:rsidRPr="00E91960">
        <w:rPr>
          <w:spacing w:val="0"/>
          <w:kern w:val="2"/>
        </w:rPr>
        <w:t xml:space="preserve"> ha</w:t>
      </w:r>
      <w:r w:rsidR="00533EB4" w:rsidRPr="00E91960">
        <w:rPr>
          <w:spacing w:val="0"/>
          <w:kern w:val="2"/>
        </w:rPr>
        <w:t>s</w:t>
      </w:r>
      <w:r w:rsidR="0095769D" w:rsidRPr="00E91960">
        <w:rPr>
          <w:spacing w:val="0"/>
          <w:kern w:val="2"/>
        </w:rPr>
        <w:t xml:space="preserve"> earned unrelated business income, it will be taxed at the prevailing corporate rate, putting it in the same tax position as a for-profit organization carrying on the same trade or business (this prevents exempt organizations from obtaining an unfair economic advantage).  </w:t>
      </w:r>
    </w:p>
    <w:p w:rsidR="0095769D" w:rsidRPr="00E91960" w:rsidRDefault="0095769D" w:rsidP="00812ECB">
      <w:pPr>
        <w:widowControl w:val="0"/>
        <w:jc w:val="both"/>
        <w:rPr>
          <w:spacing w:val="0"/>
          <w:kern w:val="2"/>
        </w:rPr>
      </w:pPr>
    </w:p>
    <w:p w:rsidR="0095769D" w:rsidRPr="00E91960" w:rsidRDefault="0095769D" w:rsidP="00812ECB">
      <w:pPr>
        <w:pStyle w:val="Title"/>
        <w:jc w:val="both"/>
        <w:rPr>
          <w:rFonts w:ascii="Times New Roman" w:hAnsi="Times New Roman"/>
          <w:b w:val="0"/>
          <w:bCs w:val="0"/>
          <w:iCs/>
          <w:kern w:val="2"/>
          <w:sz w:val="24"/>
          <w:szCs w:val="24"/>
        </w:rPr>
      </w:pPr>
      <w:r w:rsidRPr="00E91960">
        <w:rPr>
          <w:rFonts w:ascii="Times New Roman" w:hAnsi="Times New Roman"/>
          <w:b w:val="0"/>
          <w:kern w:val="2"/>
          <w:sz w:val="24"/>
        </w:rPr>
        <w:t>If the conduct of unrelated trade or business activities becom</w:t>
      </w:r>
      <w:r w:rsidR="00772DC5" w:rsidRPr="00E91960">
        <w:rPr>
          <w:rFonts w:ascii="Times New Roman" w:hAnsi="Times New Roman"/>
          <w:b w:val="0"/>
          <w:kern w:val="2"/>
          <w:sz w:val="24"/>
        </w:rPr>
        <w:t xml:space="preserve">es a substantial part of the </w:t>
      </w:r>
      <w:r w:rsidRPr="00E91960">
        <w:rPr>
          <w:rFonts w:ascii="Times New Roman" w:hAnsi="Times New Roman"/>
          <w:b w:val="0"/>
          <w:kern w:val="2"/>
          <w:sz w:val="24"/>
        </w:rPr>
        <w:t>PCA</w:t>
      </w:r>
      <w:r w:rsidR="00772DC5" w:rsidRPr="00E91960">
        <w:rPr>
          <w:rFonts w:ascii="Times New Roman" w:hAnsi="Times New Roman"/>
          <w:b w:val="0"/>
          <w:kern w:val="2"/>
          <w:sz w:val="24"/>
        </w:rPr>
        <w:t>-HCCN</w:t>
      </w:r>
      <w:r w:rsidRPr="00E91960">
        <w:rPr>
          <w:rFonts w:ascii="Times New Roman" w:hAnsi="Times New Roman"/>
          <w:b w:val="0"/>
          <w:kern w:val="2"/>
          <w:sz w:val="24"/>
        </w:rPr>
        <w:t>’s activities, the organization's tax-ex</w:t>
      </w:r>
      <w:r w:rsidR="00772DC5" w:rsidRPr="00E91960">
        <w:rPr>
          <w:rFonts w:ascii="Times New Roman" w:hAnsi="Times New Roman"/>
          <w:b w:val="0"/>
          <w:kern w:val="2"/>
          <w:sz w:val="24"/>
        </w:rPr>
        <w:t>empt status will be endangered.</w:t>
      </w:r>
      <w:r w:rsidRPr="00E91960">
        <w:rPr>
          <w:rFonts w:ascii="Times New Roman" w:hAnsi="Times New Roman"/>
          <w:b w:val="0"/>
          <w:kern w:val="2"/>
          <w:sz w:val="24"/>
        </w:rPr>
        <w:t xml:space="preserve"> Federal tax exemption is premis</w:t>
      </w:r>
      <w:r w:rsidR="00772DC5" w:rsidRPr="00E91960">
        <w:rPr>
          <w:rFonts w:ascii="Times New Roman" w:hAnsi="Times New Roman"/>
          <w:b w:val="0"/>
          <w:kern w:val="2"/>
          <w:sz w:val="24"/>
        </w:rPr>
        <w:t xml:space="preserve">ed on "primary purpose" tests. </w:t>
      </w:r>
      <w:r w:rsidRPr="00E91960">
        <w:rPr>
          <w:rFonts w:ascii="Times New Roman" w:hAnsi="Times New Roman"/>
          <w:b w:val="0"/>
          <w:kern w:val="2"/>
          <w:sz w:val="24"/>
        </w:rPr>
        <w:t xml:space="preserve">An organization will not be considered to be </w:t>
      </w:r>
      <w:r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engaged primarily in pursuing its tax-exempt purpose if more than an "insubstantial" part of its activities do </w:t>
      </w:r>
      <w:r w:rsidR="00812ECB"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not further the exempt purpose. In sum, a </w:t>
      </w:r>
      <w:r w:rsidRPr="00E91960">
        <w:rPr>
          <w:rFonts w:ascii="Times New Roman" w:hAnsi="Times New Roman"/>
          <w:b w:val="0"/>
          <w:kern w:val="2"/>
          <w:sz w:val="24"/>
          <w:szCs w:val="24"/>
        </w:rPr>
        <w:t>PCA</w:t>
      </w:r>
      <w:r w:rsidR="00812ECB" w:rsidRPr="00E91960">
        <w:rPr>
          <w:rFonts w:ascii="Times New Roman" w:hAnsi="Times New Roman"/>
          <w:b w:val="0"/>
          <w:kern w:val="2"/>
          <w:sz w:val="24"/>
          <w:szCs w:val="24"/>
        </w:rPr>
        <w:t>-HCCN</w:t>
      </w:r>
      <w:r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 that departs from its exempt purpose in favor of for-profit purposes is </w:t>
      </w:r>
      <w:r w:rsidR="00533EB4" w:rsidRPr="00E91960">
        <w:rPr>
          <w:rFonts w:ascii="Times New Roman" w:hAnsi="Times New Roman"/>
          <w:b w:val="0"/>
          <w:kern w:val="2"/>
          <w:sz w:val="24"/>
          <w:szCs w:val="24"/>
        </w:rPr>
        <w:t>no longer entitled to federal income tax exemption</w:t>
      </w:r>
      <w:r w:rsidR="00B9467A" w:rsidRPr="00E91960">
        <w:rPr>
          <w:rFonts w:ascii="Times New Roman" w:hAnsi="Times New Roman"/>
          <w:b w:val="0"/>
          <w:kern w:val="2"/>
          <w:sz w:val="24"/>
          <w:szCs w:val="24"/>
        </w:rPr>
        <w:t>.</w:t>
      </w:r>
      <w:r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  </w:t>
      </w:r>
    </w:p>
    <w:p w:rsidR="0095769D" w:rsidRPr="00E91960" w:rsidRDefault="0095769D" w:rsidP="0095769D">
      <w:pPr>
        <w:pStyle w:val="Title"/>
        <w:jc w:val="left"/>
        <w:rPr>
          <w:rFonts w:ascii="Times New Roman" w:hAnsi="Times New Roman"/>
          <w:b w:val="0"/>
          <w:bCs w:val="0"/>
          <w:iCs/>
          <w:kern w:val="2"/>
          <w:sz w:val="24"/>
          <w:szCs w:val="24"/>
        </w:rPr>
      </w:pPr>
      <w:r w:rsidRPr="00E91960">
        <w:rPr>
          <w:rFonts w:ascii="Times New Roman" w:hAnsi="Times New Roman"/>
          <w:b w:val="0"/>
          <w:bCs w:val="0"/>
          <w:iCs/>
          <w:kern w:val="2"/>
          <w:sz w:val="24"/>
          <w:szCs w:val="24"/>
        </w:rPr>
        <w:tab/>
      </w:r>
    </w:p>
    <w:p w:rsidR="0095769D" w:rsidRPr="00E91960" w:rsidRDefault="00DD6AFC" w:rsidP="00600CBA">
      <w:pPr>
        <w:pStyle w:val="Title"/>
        <w:jc w:val="left"/>
        <w:rPr>
          <w:rFonts w:ascii="Times New Roman" w:hAnsi="Times New Roman"/>
          <w:b w:val="0"/>
          <w:bCs w:val="0"/>
          <w:iCs/>
          <w:kern w:val="2"/>
          <w:sz w:val="24"/>
          <w:szCs w:val="24"/>
        </w:rPr>
      </w:pPr>
      <w:r w:rsidRPr="00E91960">
        <w:rPr>
          <w:rFonts w:ascii="Times New Roman" w:hAnsi="Times New Roman"/>
          <w:kern w:val="2"/>
          <w:sz w:val="24"/>
          <w:szCs w:val="24"/>
        </w:rPr>
        <w:t>Advice and Recommendations</w:t>
      </w:r>
      <w:r w:rsidR="00446B9E" w:rsidRPr="00E91960">
        <w:rPr>
          <w:rStyle w:val="FootnoteReference"/>
          <w:rFonts w:ascii="Times New Roman" w:hAnsi="Times New Roman"/>
          <w:bCs w:val="0"/>
          <w:iCs/>
          <w:kern w:val="2"/>
          <w:sz w:val="24"/>
          <w:szCs w:val="24"/>
        </w:rPr>
        <w:footnoteReference w:id="2"/>
      </w:r>
    </w:p>
    <w:p w:rsidR="0095769D" w:rsidRPr="00E91960" w:rsidRDefault="0095769D" w:rsidP="0095769D">
      <w:pPr>
        <w:pStyle w:val="Title"/>
        <w:jc w:val="left"/>
        <w:rPr>
          <w:rFonts w:ascii="Times New Roman" w:hAnsi="Times New Roman"/>
          <w:b w:val="0"/>
          <w:bCs w:val="0"/>
          <w:iCs/>
          <w:kern w:val="2"/>
          <w:sz w:val="24"/>
          <w:szCs w:val="24"/>
        </w:rPr>
      </w:pPr>
    </w:p>
    <w:p w:rsidR="0095769D" w:rsidRPr="00E91960" w:rsidRDefault="0095769D" w:rsidP="00C97F76">
      <w:pPr>
        <w:jc w:val="both"/>
        <w:rPr>
          <w:bCs w:val="0"/>
          <w:spacing w:val="0"/>
          <w:kern w:val="2"/>
        </w:rPr>
      </w:pPr>
      <w:r w:rsidRPr="00E91960">
        <w:rPr>
          <w:spacing w:val="0"/>
          <w:kern w:val="2"/>
        </w:rPr>
        <w:t>Whether or n</w:t>
      </w:r>
      <w:r w:rsidR="00522D32">
        <w:rPr>
          <w:spacing w:val="0"/>
          <w:kern w:val="2"/>
        </w:rPr>
        <w:t>ot a particular activity is an “unrelated business”</w:t>
      </w:r>
      <w:r w:rsidRPr="00E91960">
        <w:rPr>
          <w:spacing w:val="0"/>
          <w:kern w:val="2"/>
        </w:rPr>
        <w:t xml:space="preserve"> is based on the facts and circumstances of the speci</w:t>
      </w:r>
      <w:r w:rsidR="00812ECB" w:rsidRPr="00E91960">
        <w:rPr>
          <w:spacing w:val="0"/>
          <w:kern w:val="2"/>
        </w:rPr>
        <w:t xml:space="preserve">fic organization and activity. </w:t>
      </w:r>
      <w:r w:rsidRPr="00E91960">
        <w:rPr>
          <w:bCs w:val="0"/>
          <w:spacing w:val="0"/>
          <w:kern w:val="2"/>
        </w:rPr>
        <w:t xml:space="preserve">The basic test is whether the </w:t>
      </w:r>
      <w:r w:rsidR="00B9467A" w:rsidRPr="00E91960">
        <w:rPr>
          <w:bCs w:val="0"/>
          <w:spacing w:val="0"/>
          <w:kern w:val="2"/>
        </w:rPr>
        <w:t xml:space="preserve">business </w:t>
      </w:r>
      <w:r w:rsidRPr="00E91960">
        <w:rPr>
          <w:bCs w:val="0"/>
          <w:spacing w:val="0"/>
          <w:kern w:val="2"/>
        </w:rPr>
        <w:t>activity contributes importantly to the organization's exempt purposes (o</w:t>
      </w:r>
      <w:r w:rsidR="00812ECB" w:rsidRPr="00E91960">
        <w:rPr>
          <w:bCs w:val="0"/>
          <w:spacing w:val="0"/>
          <w:kern w:val="2"/>
        </w:rPr>
        <w:t>ther than in producing income).</w:t>
      </w:r>
      <w:r w:rsidRPr="00E91960">
        <w:rPr>
          <w:bCs w:val="0"/>
          <w:spacing w:val="0"/>
          <w:kern w:val="2"/>
        </w:rPr>
        <w:t xml:space="preserve"> Examples of </w:t>
      </w:r>
      <w:r w:rsidR="00B9467A" w:rsidRPr="00E91960">
        <w:rPr>
          <w:bCs w:val="0"/>
          <w:spacing w:val="0"/>
          <w:kern w:val="2"/>
        </w:rPr>
        <w:t xml:space="preserve">association </w:t>
      </w:r>
      <w:r w:rsidRPr="00E91960">
        <w:rPr>
          <w:bCs w:val="0"/>
          <w:spacing w:val="0"/>
          <w:kern w:val="2"/>
        </w:rPr>
        <w:t xml:space="preserve">activities that have been </w:t>
      </w:r>
      <w:r w:rsidR="00B9467A" w:rsidRPr="00E91960">
        <w:rPr>
          <w:bCs w:val="0"/>
          <w:spacing w:val="0"/>
          <w:kern w:val="2"/>
        </w:rPr>
        <w:t xml:space="preserve">held to be </w:t>
      </w:r>
      <w:r w:rsidRPr="00E91960">
        <w:rPr>
          <w:bCs w:val="0"/>
          <w:spacing w:val="0"/>
          <w:kern w:val="2"/>
        </w:rPr>
        <w:t>subject to UBIT include: sale to members of supplies and forms; price guides; administration of a group insurance program; provision of mediation and arbitration services; operation of an alcohol and drug testing program for members and nonmembers; and translation services.</w:t>
      </w:r>
    </w:p>
    <w:p w:rsidR="0095769D" w:rsidRPr="00E91960" w:rsidRDefault="0095769D" w:rsidP="00C97F76">
      <w:pPr>
        <w:widowControl w:val="0"/>
        <w:jc w:val="both"/>
        <w:rPr>
          <w:spacing w:val="0"/>
          <w:kern w:val="2"/>
        </w:rPr>
      </w:pPr>
    </w:p>
    <w:p w:rsidR="0095769D" w:rsidRPr="00E91960" w:rsidRDefault="00757E70" w:rsidP="00C97F76">
      <w:pPr>
        <w:widowControl w:val="0"/>
        <w:jc w:val="both"/>
        <w:rPr>
          <w:spacing w:val="0"/>
          <w:kern w:val="2"/>
        </w:rPr>
      </w:pPr>
      <w:r w:rsidRPr="00E91960">
        <w:rPr>
          <w:spacing w:val="0"/>
          <w:kern w:val="2"/>
        </w:rPr>
        <w:t>T</w:t>
      </w:r>
      <w:r w:rsidR="0095769D" w:rsidRPr="00E91960">
        <w:rPr>
          <w:spacing w:val="0"/>
          <w:kern w:val="2"/>
        </w:rPr>
        <w:t xml:space="preserve">he IRS does not view practice management and related service activities as </w:t>
      </w:r>
      <w:r w:rsidR="00B9467A" w:rsidRPr="00E91960">
        <w:rPr>
          <w:spacing w:val="0"/>
          <w:kern w:val="2"/>
        </w:rPr>
        <w:t xml:space="preserve">tax-exempt </w:t>
      </w:r>
      <w:r w:rsidR="0095769D" w:rsidRPr="00E91960">
        <w:rPr>
          <w:spacing w:val="0"/>
          <w:kern w:val="2"/>
        </w:rPr>
        <w:t>activities but, rather, as reflective of activities ordinarily carr</w:t>
      </w:r>
      <w:r w:rsidRPr="00E91960">
        <w:rPr>
          <w:spacing w:val="0"/>
          <w:kern w:val="2"/>
        </w:rPr>
        <w:t xml:space="preserve">ied on by a for-profit entity. </w:t>
      </w:r>
      <w:r w:rsidR="0095769D" w:rsidRPr="00E91960">
        <w:rPr>
          <w:spacing w:val="0"/>
          <w:kern w:val="2"/>
        </w:rPr>
        <w:t>As such, net income from the sale of practice management services (e.g., claims management, billing, credentialing) to health care provider</w:t>
      </w:r>
      <w:r w:rsidRPr="00E91960">
        <w:rPr>
          <w:spacing w:val="0"/>
          <w:kern w:val="2"/>
        </w:rPr>
        <w:t xml:space="preserve">s who are not members of the </w:t>
      </w:r>
      <w:r w:rsidR="0095769D" w:rsidRPr="00E91960">
        <w:rPr>
          <w:spacing w:val="0"/>
          <w:kern w:val="2"/>
        </w:rPr>
        <w:t>PCA</w:t>
      </w:r>
      <w:r w:rsidRPr="00E91960">
        <w:rPr>
          <w:spacing w:val="0"/>
          <w:kern w:val="2"/>
        </w:rPr>
        <w:t xml:space="preserve">-HCCN will be subject to UBIT. </w:t>
      </w:r>
      <w:r w:rsidR="0095769D" w:rsidRPr="00E91960">
        <w:rPr>
          <w:spacing w:val="0"/>
          <w:kern w:val="2"/>
        </w:rPr>
        <w:t>In addition, net income from the sale of pra</w:t>
      </w:r>
      <w:r w:rsidRPr="00E91960">
        <w:rPr>
          <w:spacing w:val="0"/>
          <w:kern w:val="2"/>
        </w:rPr>
        <w:t xml:space="preserve">ctice management services to </w:t>
      </w:r>
      <w:r w:rsidR="0095769D" w:rsidRPr="00E91960">
        <w:rPr>
          <w:spacing w:val="0"/>
          <w:kern w:val="2"/>
        </w:rPr>
        <w:t>PCA</w:t>
      </w:r>
      <w:r w:rsidRPr="00E91960">
        <w:rPr>
          <w:spacing w:val="0"/>
          <w:kern w:val="2"/>
        </w:rPr>
        <w:t>-HCCN</w:t>
      </w:r>
      <w:r w:rsidR="0095769D" w:rsidRPr="00E91960">
        <w:rPr>
          <w:spacing w:val="0"/>
          <w:kern w:val="2"/>
        </w:rPr>
        <w:t xml:space="preserve"> </w:t>
      </w:r>
      <w:r w:rsidR="00B9467A" w:rsidRPr="00E91960">
        <w:rPr>
          <w:spacing w:val="0"/>
          <w:kern w:val="2"/>
        </w:rPr>
        <w:lastRenderedPageBreak/>
        <w:t>also is likely</w:t>
      </w:r>
      <w:r w:rsidR="0095769D" w:rsidRPr="00E91960">
        <w:rPr>
          <w:spacing w:val="0"/>
          <w:kern w:val="2"/>
        </w:rPr>
        <w:t xml:space="preserve"> to be subject to UBIT unless the sale of such service</w:t>
      </w:r>
      <w:r w:rsidRPr="00E91960">
        <w:rPr>
          <w:spacing w:val="0"/>
          <w:kern w:val="2"/>
        </w:rPr>
        <w:t xml:space="preserve">s is a purpose for which the </w:t>
      </w:r>
      <w:r w:rsidR="0095769D" w:rsidRPr="00E91960">
        <w:rPr>
          <w:spacing w:val="0"/>
          <w:kern w:val="2"/>
        </w:rPr>
        <w:t>PCA</w:t>
      </w:r>
      <w:r w:rsidRPr="00E91960">
        <w:rPr>
          <w:spacing w:val="0"/>
          <w:kern w:val="2"/>
        </w:rPr>
        <w:t>-HCCN</w:t>
      </w:r>
      <w:r w:rsidR="0095769D" w:rsidRPr="00E91960">
        <w:rPr>
          <w:spacing w:val="0"/>
          <w:kern w:val="2"/>
        </w:rPr>
        <w:t>’s tax exemption was recognized.</w:t>
      </w:r>
    </w:p>
    <w:p w:rsidR="0095769D" w:rsidRPr="00E91960" w:rsidRDefault="0095769D" w:rsidP="00C97F76">
      <w:pPr>
        <w:pStyle w:val="Title"/>
        <w:jc w:val="both"/>
        <w:rPr>
          <w:rFonts w:ascii="Times New Roman" w:hAnsi="Times New Roman"/>
          <w:b w:val="0"/>
          <w:bCs w:val="0"/>
          <w:iCs/>
          <w:kern w:val="2"/>
          <w:sz w:val="24"/>
          <w:szCs w:val="24"/>
        </w:rPr>
      </w:pPr>
    </w:p>
    <w:p w:rsidR="00B9467A" w:rsidRPr="00E91960" w:rsidRDefault="0095769D" w:rsidP="00C97F76">
      <w:pPr>
        <w:pStyle w:val="Title"/>
        <w:jc w:val="both"/>
        <w:rPr>
          <w:rFonts w:ascii="Times New Roman" w:hAnsi="Times New Roman"/>
          <w:b w:val="0"/>
          <w:kern w:val="2"/>
          <w:sz w:val="24"/>
          <w:szCs w:val="24"/>
        </w:rPr>
      </w:pPr>
      <w:r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To the extent that </w:t>
      </w:r>
      <w:r w:rsidR="00757E70"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a </w:t>
      </w:r>
      <w:r w:rsidRPr="00E91960">
        <w:rPr>
          <w:rFonts w:ascii="Times New Roman" w:hAnsi="Times New Roman"/>
          <w:b w:val="0"/>
          <w:kern w:val="2"/>
          <w:sz w:val="24"/>
          <w:szCs w:val="24"/>
        </w:rPr>
        <w:t>PCA</w:t>
      </w:r>
      <w:r w:rsidR="00757E70" w:rsidRPr="00E91960">
        <w:rPr>
          <w:rFonts w:ascii="Times New Roman" w:hAnsi="Times New Roman"/>
          <w:b w:val="0"/>
          <w:kern w:val="2"/>
          <w:sz w:val="24"/>
          <w:szCs w:val="24"/>
        </w:rPr>
        <w:t>-HCCN</w:t>
      </w:r>
      <w:r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 generates substantial unrelated business income (</w:t>
      </w:r>
      <w:r w:rsidR="00B9467A"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potentially </w:t>
      </w:r>
      <w:r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putting its tax exemption in jeopardy), it </w:t>
      </w:r>
      <w:r w:rsidR="00B9467A"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should consider </w:t>
      </w:r>
      <w:r w:rsidRPr="00E91960">
        <w:rPr>
          <w:rFonts w:ascii="Times New Roman" w:hAnsi="Times New Roman"/>
          <w:b w:val="0"/>
          <w:kern w:val="2"/>
          <w:sz w:val="24"/>
          <w:szCs w:val="24"/>
        </w:rPr>
        <w:t>establishing a separate “sister” organization</w:t>
      </w:r>
      <w:r w:rsidR="00B9467A"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 to</w:t>
      </w:r>
      <w:r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 operate the unrelated “fo</w:t>
      </w:r>
      <w:r w:rsidR="002E6292"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r-profit” business activities. </w:t>
      </w:r>
      <w:r w:rsidRPr="00E91960">
        <w:rPr>
          <w:rFonts w:ascii="Times New Roman" w:hAnsi="Times New Roman"/>
          <w:b w:val="0"/>
          <w:kern w:val="2"/>
          <w:sz w:val="24"/>
          <w:szCs w:val="24"/>
        </w:rPr>
        <w:t>Similarly, i</w:t>
      </w:r>
      <w:r w:rsidR="002E6292"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f a </w:t>
      </w:r>
      <w:r w:rsidR="00446B9E" w:rsidRPr="00E91960">
        <w:rPr>
          <w:rFonts w:ascii="Times New Roman" w:hAnsi="Times New Roman"/>
          <w:b w:val="0"/>
          <w:kern w:val="2"/>
          <w:sz w:val="24"/>
          <w:szCs w:val="24"/>
        </w:rPr>
        <w:t>PCA</w:t>
      </w:r>
      <w:r w:rsidR="002E6292" w:rsidRPr="00E91960">
        <w:rPr>
          <w:rFonts w:ascii="Times New Roman" w:hAnsi="Times New Roman"/>
          <w:b w:val="0"/>
          <w:kern w:val="2"/>
          <w:sz w:val="24"/>
          <w:szCs w:val="24"/>
        </w:rPr>
        <w:t>-HCCN</w:t>
      </w:r>
      <w:r w:rsidR="00446B9E"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 that is exempt from f</w:t>
      </w:r>
      <w:r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ederal </w:t>
      </w:r>
      <w:r w:rsidR="00B9467A"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income tax </w:t>
      </w:r>
      <w:r w:rsidRPr="00E91960">
        <w:rPr>
          <w:rFonts w:ascii="Times New Roman" w:hAnsi="Times New Roman"/>
          <w:b w:val="0"/>
          <w:kern w:val="2"/>
          <w:sz w:val="24"/>
          <w:szCs w:val="24"/>
        </w:rPr>
        <w:t>under Section 501(c)(3) of the Internal Revenue Code conducts lobbying activities</w:t>
      </w:r>
      <w:r w:rsidR="00B9467A"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 </w:t>
      </w:r>
      <w:r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in </w:t>
      </w:r>
      <w:r w:rsidR="00B9467A"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excess of the amount permitted for </w:t>
      </w:r>
      <w:r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501(c)(3) organizations, it may establish a </w:t>
      </w:r>
      <w:r w:rsidR="00B9467A"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separate organization (typically a Section 501(c)(4) organization) to conduct those </w:t>
      </w:r>
      <w:r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activities.  </w:t>
      </w:r>
    </w:p>
    <w:p w:rsidR="00B9467A" w:rsidRPr="00E91960" w:rsidRDefault="00B9467A" w:rsidP="00C97F76">
      <w:pPr>
        <w:pStyle w:val="Title"/>
        <w:ind w:firstLine="720"/>
        <w:jc w:val="both"/>
        <w:rPr>
          <w:rFonts w:ascii="Times New Roman" w:hAnsi="Times New Roman"/>
          <w:b w:val="0"/>
          <w:kern w:val="2"/>
          <w:sz w:val="24"/>
          <w:szCs w:val="24"/>
        </w:rPr>
      </w:pPr>
    </w:p>
    <w:p w:rsidR="0095769D" w:rsidRPr="00E91960" w:rsidRDefault="0095769D" w:rsidP="00C97F76">
      <w:pPr>
        <w:pStyle w:val="Title"/>
        <w:jc w:val="both"/>
        <w:rPr>
          <w:rFonts w:ascii="Times New Roman" w:hAnsi="Times New Roman"/>
          <w:b w:val="0"/>
          <w:kern w:val="2"/>
          <w:sz w:val="24"/>
          <w:szCs w:val="24"/>
        </w:rPr>
      </w:pPr>
      <w:r w:rsidRPr="00E91960">
        <w:rPr>
          <w:rFonts w:ascii="Times New Roman" w:hAnsi="Times New Roman"/>
          <w:b w:val="0"/>
          <w:kern w:val="2"/>
          <w:sz w:val="24"/>
          <w:szCs w:val="24"/>
        </w:rPr>
        <w:t>Other reasons to establish a new corporation include:</w:t>
      </w:r>
    </w:p>
    <w:p w:rsidR="0095769D" w:rsidRPr="00E91960" w:rsidRDefault="0095769D" w:rsidP="00C97F76">
      <w:pPr>
        <w:pStyle w:val="Title"/>
        <w:jc w:val="both"/>
        <w:rPr>
          <w:rFonts w:ascii="Times New Roman" w:hAnsi="Times New Roman"/>
          <w:b w:val="0"/>
          <w:kern w:val="2"/>
          <w:sz w:val="24"/>
          <w:szCs w:val="24"/>
        </w:rPr>
      </w:pPr>
    </w:p>
    <w:p w:rsidR="0095769D" w:rsidRPr="00E91960" w:rsidRDefault="002E6292" w:rsidP="00C97F76">
      <w:pPr>
        <w:pStyle w:val="Title"/>
        <w:numPr>
          <w:ilvl w:val="0"/>
          <w:numId w:val="2"/>
        </w:numPr>
        <w:jc w:val="both"/>
        <w:rPr>
          <w:rFonts w:ascii="Times New Roman" w:hAnsi="Times New Roman"/>
          <w:b w:val="0"/>
          <w:kern w:val="2"/>
          <w:sz w:val="24"/>
          <w:szCs w:val="24"/>
        </w:rPr>
      </w:pPr>
      <w:r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Protect the </w:t>
      </w:r>
      <w:r w:rsidR="0095769D" w:rsidRPr="00E91960">
        <w:rPr>
          <w:rFonts w:ascii="Times New Roman" w:hAnsi="Times New Roman"/>
          <w:b w:val="0"/>
          <w:kern w:val="2"/>
          <w:sz w:val="24"/>
          <w:szCs w:val="24"/>
        </w:rPr>
        <w:t>PCA</w:t>
      </w:r>
      <w:r w:rsidRPr="00E91960">
        <w:rPr>
          <w:rFonts w:ascii="Times New Roman" w:hAnsi="Times New Roman"/>
          <w:b w:val="0"/>
          <w:kern w:val="2"/>
          <w:sz w:val="24"/>
          <w:szCs w:val="24"/>
        </w:rPr>
        <w:t>-HCCN</w:t>
      </w:r>
      <w:r w:rsidR="0095769D"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 from potential liabilities and risks arising </w:t>
      </w:r>
      <w:r w:rsidR="00F90C7A" w:rsidRPr="00E91960">
        <w:rPr>
          <w:rFonts w:ascii="Times New Roman" w:hAnsi="Times New Roman"/>
          <w:b w:val="0"/>
          <w:kern w:val="2"/>
          <w:sz w:val="24"/>
          <w:szCs w:val="24"/>
        </w:rPr>
        <w:t>out of business activities;</w:t>
      </w:r>
    </w:p>
    <w:p w:rsidR="00F90C7A" w:rsidRPr="00E91960" w:rsidRDefault="002E6292" w:rsidP="00C97F76">
      <w:pPr>
        <w:pStyle w:val="Title"/>
        <w:numPr>
          <w:ilvl w:val="0"/>
          <w:numId w:val="2"/>
        </w:numPr>
        <w:jc w:val="both"/>
        <w:rPr>
          <w:rFonts w:ascii="Times New Roman" w:hAnsi="Times New Roman"/>
          <w:b w:val="0"/>
          <w:kern w:val="2"/>
          <w:sz w:val="24"/>
          <w:szCs w:val="24"/>
        </w:rPr>
      </w:pPr>
      <w:r w:rsidRPr="00E91960">
        <w:rPr>
          <w:rFonts w:ascii="Times New Roman" w:hAnsi="Times New Roman"/>
          <w:b w:val="0"/>
          <w:kern w:val="2"/>
          <w:sz w:val="24"/>
          <w:szCs w:val="24"/>
        </w:rPr>
        <w:t>Provide</w:t>
      </w:r>
      <w:r w:rsidR="0095769D"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 </w:t>
      </w:r>
      <w:bookmarkStart w:id="0" w:name="_GoBack"/>
      <w:bookmarkEnd w:id="0"/>
      <w:r w:rsidR="0095769D" w:rsidRPr="00E91960">
        <w:rPr>
          <w:rFonts w:ascii="Times New Roman" w:hAnsi="Times New Roman"/>
          <w:b w:val="0"/>
          <w:kern w:val="2"/>
          <w:sz w:val="24"/>
          <w:szCs w:val="24"/>
        </w:rPr>
        <w:t>an opportunity for outside invest</w:t>
      </w:r>
      <w:r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ors/owners to participate in </w:t>
      </w:r>
      <w:r w:rsidR="0095769D" w:rsidRPr="00E91960">
        <w:rPr>
          <w:rFonts w:ascii="Times New Roman" w:hAnsi="Times New Roman"/>
          <w:b w:val="0"/>
          <w:kern w:val="2"/>
          <w:sz w:val="24"/>
          <w:szCs w:val="24"/>
        </w:rPr>
        <w:t>PCA</w:t>
      </w:r>
      <w:r w:rsidRPr="00E91960">
        <w:rPr>
          <w:rFonts w:ascii="Times New Roman" w:hAnsi="Times New Roman"/>
          <w:b w:val="0"/>
          <w:kern w:val="2"/>
          <w:sz w:val="24"/>
          <w:szCs w:val="24"/>
        </w:rPr>
        <w:t>-HCCN</w:t>
      </w:r>
      <w:r w:rsidR="0095769D"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-related </w:t>
      </w:r>
      <w:r w:rsidR="00B9467A"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for-profit </w:t>
      </w:r>
      <w:r w:rsidR="0095769D" w:rsidRPr="00E91960">
        <w:rPr>
          <w:rFonts w:ascii="Times New Roman" w:hAnsi="Times New Roman"/>
          <w:b w:val="0"/>
          <w:kern w:val="2"/>
          <w:sz w:val="24"/>
          <w:szCs w:val="24"/>
        </w:rPr>
        <w:t>activities</w:t>
      </w:r>
      <w:r w:rsidR="00F90C7A" w:rsidRPr="00E91960">
        <w:rPr>
          <w:rFonts w:ascii="Times New Roman" w:hAnsi="Times New Roman"/>
          <w:b w:val="0"/>
          <w:kern w:val="2"/>
          <w:sz w:val="24"/>
          <w:szCs w:val="24"/>
        </w:rPr>
        <w:t>; and</w:t>
      </w:r>
    </w:p>
    <w:p w:rsidR="0095769D" w:rsidRPr="00E91960" w:rsidRDefault="00F90C7A" w:rsidP="00C97F76">
      <w:pPr>
        <w:pStyle w:val="Title"/>
        <w:numPr>
          <w:ilvl w:val="0"/>
          <w:numId w:val="2"/>
        </w:numPr>
        <w:jc w:val="both"/>
        <w:rPr>
          <w:rFonts w:ascii="Times New Roman" w:hAnsi="Times New Roman"/>
          <w:b w:val="0"/>
          <w:kern w:val="2"/>
          <w:sz w:val="24"/>
          <w:szCs w:val="24"/>
        </w:rPr>
      </w:pPr>
      <w:r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Provide an opportunity for the </w:t>
      </w:r>
      <w:r w:rsidR="0095769D" w:rsidRPr="00E91960">
        <w:rPr>
          <w:rFonts w:ascii="Times New Roman" w:hAnsi="Times New Roman"/>
          <w:b w:val="0"/>
          <w:kern w:val="2"/>
          <w:sz w:val="24"/>
          <w:szCs w:val="24"/>
        </w:rPr>
        <w:t>PCA</w:t>
      </w:r>
      <w:r w:rsidRPr="00E91960">
        <w:rPr>
          <w:rFonts w:ascii="Times New Roman" w:hAnsi="Times New Roman"/>
          <w:b w:val="0"/>
          <w:kern w:val="2"/>
          <w:sz w:val="24"/>
          <w:szCs w:val="24"/>
        </w:rPr>
        <w:t>-HCCN</w:t>
      </w:r>
      <w:r w:rsidR="0095769D"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 to secure a return on investment.  </w:t>
      </w:r>
    </w:p>
    <w:p w:rsidR="0095769D" w:rsidRPr="00E91960" w:rsidRDefault="0095769D" w:rsidP="00C97F76">
      <w:pPr>
        <w:pStyle w:val="Title"/>
        <w:jc w:val="both"/>
        <w:rPr>
          <w:rFonts w:ascii="Times New Roman" w:hAnsi="Times New Roman"/>
          <w:b w:val="0"/>
          <w:kern w:val="2"/>
          <w:sz w:val="24"/>
          <w:szCs w:val="24"/>
        </w:rPr>
      </w:pPr>
    </w:p>
    <w:p w:rsidR="00C97F76" w:rsidRPr="00E91960" w:rsidRDefault="0095769D" w:rsidP="00C97F76">
      <w:pPr>
        <w:pStyle w:val="Title"/>
        <w:jc w:val="both"/>
        <w:rPr>
          <w:rFonts w:ascii="Times New Roman" w:hAnsi="Times New Roman"/>
          <w:b w:val="0"/>
          <w:kern w:val="2"/>
          <w:sz w:val="24"/>
          <w:szCs w:val="24"/>
        </w:rPr>
      </w:pPr>
      <w:r w:rsidRPr="00E91960">
        <w:rPr>
          <w:rFonts w:ascii="Times New Roman" w:hAnsi="Times New Roman"/>
          <w:b w:val="0"/>
          <w:kern w:val="2"/>
          <w:sz w:val="24"/>
          <w:szCs w:val="24"/>
        </w:rPr>
        <w:t>This last point is particularly important, in that nonp</w:t>
      </w:r>
      <w:r w:rsidR="00F90C7A"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rofit organizations, such as </w:t>
      </w:r>
      <w:r w:rsidRPr="00E91960">
        <w:rPr>
          <w:rFonts w:ascii="Times New Roman" w:hAnsi="Times New Roman"/>
          <w:b w:val="0"/>
          <w:kern w:val="2"/>
          <w:sz w:val="24"/>
          <w:szCs w:val="24"/>
        </w:rPr>
        <w:t>PCAs</w:t>
      </w:r>
      <w:r w:rsidR="00F90C7A" w:rsidRPr="00E91960">
        <w:rPr>
          <w:rFonts w:ascii="Times New Roman" w:hAnsi="Times New Roman"/>
          <w:b w:val="0"/>
          <w:kern w:val="2"/>
          <w:sz w:val="24"/>
          <w:szCs w:val="24"/>
        </w:rPr>
        <w:t>-HCCNs</w:t>
      </w:r>
      <w:r w:rsidRPr="00E91960">
        <w:rPr>
          <w:rFonts w:ascii="Times New Roman" w:hAnsi="Times New Roman"/>
          <w:b w:val="0"/>
          <w:kern w:val="2"/>
          <w:sz w:val="24"/>
          <w:szCs w:val="24"/>
        </w:rPr>
        <w:t>, that engage in business activities cannot distribute surplus earnings to their members unless the organization can document how such distribution</w:t>
      </w:r>
      <w:r w:rsidR="00B9467A" w:rsidRPr="00E91960">
        <w:rPr>
          <w:rFonts w:ascii="Times New Roman" w:hAnsi="Times New Roman"/>
          <w:b w:val="0"/>
          <w:kern w:val="2"/>
          <w:sz w:val="24"/>
          <w:szCs w:val="24"/>
        </w:rPr>
        <w:t>s</w:t>
      </w:r>
      <w:r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 (typically in the </w:t>
      </w:r>
      <w:r w:rsidR="00F90C7A" w:rsidRPr="00E91960">
        <w:rPr>
          <w:rFonts w:ascii="Times New Roman" w:hAnsi="Times New Roman"/>
          <w:b w:val="0"/>
          <w:kern w:val="2"/>
          <w:sz w:val="24"/>
          <w:szCs w:val="24"/>
        </w:rPr>
        <w:t xml:space="preserve">form of grants) furthers the </w:t>
      </w:r>
      <w:r w:rsidRPr="00E91960">
        <w:rPr>
          <w:rFonts w:ascii="Times New Roman" w:hAnsi="Times New Roman"/>
          <w:b w:val="0"/>
          <w:kern w:val="2"/>
          <w:sz w:val="24"/>
          <w:szCs w:val="24"/>
        </w:rPr>
        <w:t>PCA</w:t>
      </w:r>
      <w:r w:rsidR="00F90C7A" w:rsidRPr="00E91960">
        <w:rPr>
          <w:rFonts w:ascii="Times New Roman" w:hAnsi="Times New Roman"/>
          <w:b w:val="0"/>
          <w:kern w:val="2"/>
          <w:sz w:val="24"/>
          <w:szCs w:val="24"/>
        </w:rPr>
        <w:t>-HCCN</w:t>
      </w:r>
      <w:r w:rsidRPr="00E91960">
        <w:rPr>
          <w:rFonts w:ascii="Times New Roman" w:hAnsi="Times New Roman"/>
          <w:b w:val="0"/>
          <w:kern w:val="2"/>
          <w:sz w:val="24"/>
          <w:szCs w:val="24"/>
        </w:rPr>
        <w:t>’s tax-exempt purposes.</w:t>
      </w:r>
    </w:p>
    <w:p w:rsidR="00C97F76" w:rsidRPr="00E91960" w:rsidRDefault="00C97F76" w:rsidP="00C97F76">
      <w:pPr>
        <w:pStyle w:val="Title"/>
        <w:jc w:val="both"/>
        <w:rPr>
          <w:rFonts w:ascii="Times New Roman" w:hAnsi="Times New Roman"/>
          <w:b w:val="0"/>
          <w:kern w:val="2"/>
          <w:sz w:val="24"/>
          <w:szCs w:val="24"/>
        </w:rPr>
      </w:pPr>
    </w:p>
    <w:p w:rsidR="0000738F" w:rsidRPr="00E91960" w:rsidRDefault="00036DBB" w:rsidP="00C97F76">
      <w:pPr>
        <w:pStyle w:val="Title"/>
        <w:numPr>
          <w:ilvl w:val="0"/>
          <w:numId w:val="6"/>
        </w:numPr>
        <w:jc w:val="both"/>
        <w:rPr>
          <w:rFonts w:ascii="Times New Roman" w:hAnsi="Times New Roman"/>
          <w:b w:val="0"/>
          <w:kern w:val="2"/>
          <w:sz w:val="24"/>
          <w:szCs w:val="24"/>
        </w:rPr>
      </w:pPr>
      <w:hyperlink r:id="rId9" w:history="1">
        <w:r w:rsidR="00C00A05" w:rsidRPr="00E91960">
          <w:rPr>
            <w:rStyle w:val="Hyperlink"/>
            <w:rFonts w:ascii="Times New Roman" w:hAnsi="Times New Roman"/>
            <w:b w:val="0"/>
            <w:bCs w:val="0"/>
            <w:iCs/>
            <w:kern w:val="2"/>
            <w:sz w:val="24"/>
            <w:szCs w:val="24"/>
          </w:rPr>
          <w:t>Unrelated business a</w:t>
        </w:r>
        <w:r w:rsidR="0095769D" w:rsidRPr="00E91960">
          <w:rPr>
            <w:rStyle w:val="Hyperlink"/>
            <w:rFonts w:ascii="Times New Roman" w:hAnsi="Times New Roman"/>
            <w:b w:val="0"/>
            <w:bCs w:val="0"/>
            <w:iCs/>
            <w:kern w:val="2"/>
            <w:sz w:val="24"/>
            <w:szCs w:val="24"/>
          </w:rPr>
          <w:t>ctivities</w:t>
        </w:r>
      </w:hyperlink>
      <w:r w:rsidR="00C00A05" w:rsidRPr="00E91960">
        <w:rPr>
          <w:rStyle w:val="Hyperlink"/>
          <w:rFonts w:ascii="Times New Roman" w:hAnsi="Times New Roman"/>
          <w:b w:val="0"/>
          <w:bCs w:val="0"/>
          <w:iCs/>
          <w:kern w:val="2"/>
          <w:sz w:val="24"/>
          <w:szCs w:val="24"/>
        </w:rPr>
        <w:t>: Sample policy and procedure</w:t>
      </w:r>
    </w:p>
    <w:sectPr w:rsidR="0000738F" w:rsidRPr="00E91960" w:rsidSect="004F571A">
      <w:headerReference w:type="default" r:id="rId10"/>
      <w:footerReference w:type="default" r:id="rId11"/>
      <w:pgSz w:w="12240" w:h="15840" w:code="1"/>
      <w:pgMar w:top="1440" w:right="1440" w:bottom="1440" w:left="144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99" w:rsidRDefault="00403599" w:rsidP="00403599">
      <w:r>
        <w:separator/>
      </w:r>
    </w:p>
  </w:endnote>
  <w:endnote w:type="continuationSeparator" w:id="0">
    <w:p w:rsidR="00403599" w:rsidRDefault="00403599" w:rsidP="0040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99" w:rsidRPr="006B59DD" w:rsidRDefault="00403599" w:rsidP="00403599">
    <w:pPr>
      <w:pBdr>
        <w:bottom w:val="single" w:sz="12" w:space="0" w:color="auto"/>
      </w:pBdr>
      <w:rPr>
        <w:rFonts w:eastAsia="Calibri"/>
        <w:bCs w:val="0"/>
        <w:sz w:val="20"/>
        <w:szCs w:val="20"/>
      </w:rPr>
    </w:pPr>
    <w:r>
      <w:tab/>
    </w:r>
  </w:p>
  <w:p w:rsidR="00403599" w:rsidRPr="006B59DD" w:rsidRDefault="00403599" w:rsidP="00403599">
    <w:pPr>
      <w:tabs>
        <w:tab w:val="left" w:pos="2340"/>
      </w:tabs>
      <w:jc w:val="center"/>
      <w:rPr>
        <w:rFonts w:eastAsia="Calibri"/>
        <w:bCs w:val="0"/>
        <w:sz w:val="20"/>
        <w:szCs w:val="20"/>
      </w:rPr>
    </w:pPr>
  </w:p>
  <w:p w:rsidR="00403599" w:rsidRPr="006B59DD" w:rsidRDefault="00C00A05" w:rsidP="00403599">
    <w:pPr>
      <w:tabs>
        <w:tab w:val="left" w:pos="2340"/>
      </w:tabs>
      <w:jc w:val="center"/>
      <w:rPr>
        <w:rFonts w:eastAsia="Calibri"/>
        <w:bCs w:val="0"/>
        <w:sz w:val="20"/>
        <w:szCs w:val="20"/>
      </w:rPr>
    </w:pPr>
    <w:r>
      <w:rPr>
        <w:rFonts w:eastAsia="Calibri"/>
        <w:sz w:val="20"/>
        <w:szCs w:val="20"/>
      </w:rPr>
      <w:t xml:space="preserve">The Corporate </w:t>
    </w:r>
    <w:r w:rsidR="00403599" w:rsidRPr="006B59DD">
      <w:rPr>
        <w:rFonts w:eastAsia="Calibri"/>
        <w:sz w:val="20"/>
        <w:szCs w:val="20"/>
      </w:rPr>
      <w:t>Compliance Toolkit</w:t>
    </w:r>
    <w:r>
      <w:rPr>
        <w:rFonts w:eastAsia="Calibri"/>
        <w:sz w:val="20"/>
        <w:szCs w:val="20"/>
      </w:rPr>
      <w:t xml:space="preserve"> for PCAs-HCCNS</w:t>
    </w:r>
  </w:p>
  <w:p w:rsidR="00403599" w:rsidRPr="006B59DD" w:rsidRDefault="00C00A05" w:rsidP="00403599">
    <w:pPr>
      <w:tabs>
        <w:tab w:val="left" w:pos="2340"/>
      </w:tabs>
      <w:jc w:val="center"/>
      <w:rPr>
        <w:rFonts w:eastAsia="Calibri"/>
        <w:bCs w:val="0"/>
        <w:sz w:val="20"/>
        <w:szCs w:val="20"/>
        <w:lang w:val="de-DE"/>
      </w:rPr>
    </w:pPr>
    <w:r>
      <w:rPr>
        <w:rFonts w:eastAsia="Calibri"/>
        <w:sz w:val="20"/>
        <w:szCs w:val="20"/>
        <w:lang w:val="de-DE"/>
      </w:rPr>
      <w:t>© 2015</w:t>
    </w:r>
    <w:r w:rsidR="00403599" w:rsidRPr="006B59DD">
      <w:rPr>
        <w:rFonts w:eastAsia="Calibri"/>
        <w:sz w:val="20"/>
        <w:szCs w:val="20"/>
        <w:lang w:val="de-DE"/>
      </w:rPr>
      <w:t xml:space="preserve"> </w:t>
    </w:r>
    <w:r w:rsidR="00403599" w:rsidRPr="006B59DD">
      <w:rPr>
        <w:rFonts w:eastAsia="Calibri"/>
        <w:sz w:val="20"/>
        <w:szCs w:val="20"/>
      </w:rPr>
      <w:t>National Association of Community Health Centers, Inc.</w:t>
    </w:r>
  </w:p>
  <w:p w:rsidR="00403599" w:rsidRPr="006B59DD" w:rsidRDefault="00403599" w:rsidP="00403599">
    <w:pPr>
      <w:tabs>
        <w:tab w:val="left" w:pos="2340"/>
      </w:tabs>
      <w:jc w:val="center"/>
      <w:rPr>
        <w:rFonts w:eastAsia="Calibri"/>
        <w:bCs w:val="0"/>
        <w:sz w:val="20"/>
        <w:szCs w:val="20"/>
        <w:lang w:val="de-DE"/>
      </w:rPr>
    </w:pPr>
    <w:r w:rsidRPr="006B59DD">
      <w:rPr>
        <w:rFonts w:eastAsia="Calibri"/>
        <w:sz w:val="20"/>
        <w:szCs w:val="20"/>
        <w:lang w:val="de-DE"/>
      </w:rPr>
      <w:t>and Feldesman Tucker Leifer Fidell LLP</w:t>
    </w:r>
  </w:p>
  <w:p w:rsidR="00403599" w:rsidRPr="006B59DD" w:rsidRDefault="00403599" w:rsidP="00403599">
    <w:pPr>
      <w:tabs>
        <w:tab w:val="left" w:pos="2340"/>
      </w:tabs>
      <w:jc w:val="center"/>
      <w:rPr>
        <w:rFonts w:eastAsia="Calibri"/>
        <w:bCs w:val="0"/>
        <w:sz w:val="20"/>
        <w:szCs w:val="20"/>
      </w:rPr>
    </w:pPr>
  </w:p>
  <w:p w:rsidR="00403599" w:rsidRPr="00446B9E" w:rsidRDefault="00403599" w:rsidP="00446B9E">
    <w:pPr>
      <w:tabs>
        <w:tab w:val="left" w:pos="2340"/>
      </w:tabs>
      <w:jc w:val="center"/>
      <w:rPr>
        <w:rFonts w:eastAsia="Calibri"/>
        <w:sz w:val="20"/>
        <w:szCs w:val="20"/>
        <w:lang w:val="de-DE"/>
      </w:rPr>
    </w:pPr>
    <w:r w:rsidRPr="006B59DD">
      <w:rPr>
        <w:rFonts w:eastAsia="Calibri"/>
        <w:bCs w:val="0"/>
        <w:sz w:val="20"/>
        <w:szCs w:val="20"/>
      </w:rPr>
      <w:fldChar w:fldCharType="begin"/>
    </w:r>
    <w:r w:rsidRPr="006B59DD">
      <w:rPr>
        <w:rFonts w:eastAsia="Calibri"/>
        <w:sz w:val="20"/>
        <w:szCs w:val="20"/>
      </w:rPr>
      <w:instrText xml:space="preserve"> PAGE </w:instrText>
    </w:r>
    <w:r w:rsidRPr="006B59DD">
      <w:rPr>
        <w:rFonts w:eastAsia="Calibri"/>
        <w:bCs w:val="0"/>
        <w:sz w:val="20"/>
        <w:szCs w:val="20"/>
      </w:rPr>
      <w:fldChar w:fldCharType="separate"/>
    </w:r>
    <w:r w:rsidR="00910FEC">
      <w:rPr>
        <w:rFonts w:eastAsia="Calibri"/>
        <w:noProof/>
        <w:sz w:val="20"/>
        <w:szCs w:val="20"/>
      </w:rPr>
      <w:t>2</w:t>
    </w:r>
    <w:r w:rsidRPr="006B59DD">
      <w:rPr>
        <w:rFonts w:eastAsia="Calibri"/>
        <w:bCs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99" w:rsidRDefault="00403599" w:rsidP="00403599">
      <w:r>
        <w:separator/>
      </w:r>
    </w:p>
  </w:footnote>
  <w:footnote w:type="continuationSeparator" w:id="0">
    <w:p w:rsidR="00403599" w:rsidRDefault="00403599" w:rsidP="00403599">
      <w:r>
        <w:continuationSeparator/>
      </w:r>
    </w:p>
  </w:footnote>
  <w:footnote w:id="1">
    <w:p w:rsidR="00A82683" w:rsidRPr="00E91960" w:rsidRDefault="00A82683" w:rsidP="004F571A">
      <w:pPr>
        <w:pStyle w:val="FootnoteText"/>
        <w:ind w:left="360" w:hanging="360"/>
        <w:rPr>
          <w:spacing w:val="0"/>
          <w:kern w:val="2"/>
        </w:rPr>
      </w:pPr>
      <w:r>
        <w:rPr>
          <w:rStyle w:val="FootnoteReference"/>
        </w:rPr>
        <w:footnoteRef/>
      </w:r>
      <w:r>
        <w:t xml:space="preserve"> </w:t>
      </w:r>
      <w:r w:rsidR="004F571A">
        <w:tab/>
      </w:r>
      <w:r w:rsidRPr="00E91960">
        <w:rPr>
          <w:spacing w:val="0"/>
          <w:kern w:val="2"/>
          <w:u w:val="single"/>
        </w:rPr>
        <w:t>See</w:t>
      </w:r>
      <w:r w:rsidRPr="00E91960">
        <w:rPr>
          <w:spacing w:val="0"/>
          <w:kern w:val="2"/>
        </w:rPr>
        <w:t xml:space="preserve"> Section 512</w:t>
      </w:r>
      <w:r w:rsidR="00772DC5" w:rsidRPr="00E91960">
        <w:rPr>
          <w:spacing w:val="0"/>
          <w:kern w:val="2"/>
        </w:rPr>
        <w:t xml:space="preserve"> of the Internal Revenue Code. </w:t>
      </w:r>
    </w:p>
  </w:footnote>
  <w:footnote w:id="2">
    <w:p w:rsidR="00446B9E" w:rsidRPr="00E91960" w:rsidRDefault="00446B9E" w:rsidP="004F571A">
      <w:pPr>
        <w:pStyle w:val="FootnoteText"/>
        <w:ind w:left="360" w:hanging="360"/>
        <w:rPr>
          <w:spacing w:val="0"/>
          <w:kern w:val="2"/>
        </w:rPr>
      </w:pPr>
      <w:r w:rsidRPr="00E91960">
        <w:rPr>
          <w:rStyle w:val="FootnoteReference"/>
          <w:spacing w:val="0"/>
          <w:kern w:val="2"/>
        </w:rPr>
        <w:footnoteRef/>
      </w:r>
      <w:r w:rsidRPr="00E91960">
        <w:rPr>
          <w:spacing w:val="0"/>
          <w:kern w:val="2"/>
        </w:rPr>
        <w:t xml:space="preserve"> </w:t>
      </w:r>
      <w:r w:rsidR="004F571A" w:rsidRPr="00E91960">
        <w:rPr>
          <w:spacing w:val="0"/>
          <w:kern w:val="2"/>
        </w:rPr>
        <w:tab/>
      </w:r>
      <w:r w:rsidRPr="00E91960">
        <w:rPr>
          <w:spacing w:val="0"/>
          <w:kern w:val="2"/>
        </w:rPr>
        <w:t>The Authors of these materials include attorneys at the law firm of Felde</w:t>
      </w:r>
      <w:r w:rsidR="00C97F76" w:rsidRPr="00E91960">
        <w:rPr>
          <w:spacing w:val="0"/>
          <w:kern w:val="2"/>
        </w:rPr>
        <w:t xml:space="preserve">sman Tucker Leifer Fidell LLP. </w:t>
      </w:r>
      <w:r w:rsidR="00D819D7" w:rsidRPr="00E91960">
        <w:rPr>
          <w:color w:val="000000"/>
          <w:spacing w:val="0"/>
          <w:kern w:val="2"/>
        </w:rPr>
        <w:t>The advice and recommendations consist of general guidance based</w:t>
      </w:r>
      <w:r w:rsidR="00DD6AFC" w:rsidRPr="00E91960">
        <w:rPr>
          <w:spacing w:val="0"/>
          <w:kern w:val="2"/>
        </w:rPr>
        <w:t xml:space="preserve"> on federal law and regulations</w:t>
      </w:r>
      <w:r w:rsidRPr="00E91960">
        <w:rPr>
          <w:spacing w:val="0"/>
          <w:kern w:val="2"/>
        </w:rPr>
        <w:t xml:space="preserve"> and do </w:t>
      </w:r>
      <w:r w:rsidR="00C97F76" w:rsidRPr="00E91960">
        <w:rPr>
          <w:spacing w:val="0"/>
          <w:kern w:val="2"/>
        </w:rPr>
        <w:t xml:space="preserve">not necessarily apply to all </w:t>
      </w:r>
      <w:r w:rsidRPr="00E91960">
        <w:rPr>
          <w:spacing w:val="0"/>
          <w:kern w:val="2"/>
        </w:rPr>
        <w:t>PCAs</w:t>
      </w:r>
      <w:r w:rsidR="00C97F76" w:rsidRPr="00E91960">
        <w:rPr>
          <w:spacing w:val="0"/>
          <w:kern w:val="2"/>
        </w:rPr>
        <w:t>-HCCNs</w:t>
      </w:r>
      <w:r w:rsidRPr="00E91960">
        <w:rPr>
          <w:spacing w:val="0"/>
          <w:kern w:val="2"/>
        </w:rPr>
        <w:t xml:space="preserve"> unde</w:t>
      </w:r>
      <w:r w:rsidR="00C97F76" w:rsidRPr="00E91960">
        <w:rPr>
          <w:spacing w:val="0"/>
          <w:kern w:val="2"/>
        </w:rPr>
        <w:t xml:space="preserve">r all facts and circumstances. </w:t>
      </w:r>
      <w:r w:rsidRPr="00E91960">
        <w:rPr>
          <w:spacing w:val="0"/>
          <w:kern w:val="2"/>
        </w:rPr>
        <w:t>Further, these materials do not replace, and are not a substitute for, legal advice from qualified legal counsel.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99" w:rsidRPr="00014E7E" w:rsidRDefault="00403599" w:rsidP="00403599">
    <w:pPr>
      <w:jc w:val="center"/>
      <w:rPr>
        <w:sz w:val="20"/>
      </w:rPr>
    </w:pPr>
    <w:r w:rsidRPr="00014E7E">
      <w:rPr>
        <w:sz w:val="20"/>
      </w:rPr>
      <w:t>V</w:t>
    </w:r>
    <w:r w:rsidR="00BD0A33">
      <w:rPr>
        <w:sz w:val="20"/>
      </w:rPr>
      <w:t xml:space="preserve">olume II: </w:t>
    </w:r>
    <w:r w:rsidRPr="00014E7E">
      <w:rPr>
        <w:sz w:val="20"/>
      </w:rPr>
      <w:t>PCA</w:t>
    </w:r>
    <w:r w:rsidR="00BD0A33">
      <w:rPr>
        <w:sz w:val="20"/>
      </w:rPr>
      <w:t>-HCCN</w:t>
    </w:r>
    <w:r w:rsidRPr="00014E7E">
      <w:rPr>
        <w:sz w:val="20"/>
      </w:rPr>
      <w:t xml:space="preserve"> Risk Areas</w:t>
    </w:r>
  </w:p>
  <w:p w:rsidR="00403599" w:rsidRPr="00014E7E" w:rsidRDefault="00403599" w:rsidP="00403599">
    <w:pPr>
      <w:pBdr>
        <w:bottom w:val="single" w:sz="12" w:space="0" w:color="auto"/>
      </w:pBdr>
      <w:jc w:val="center"/>
      <w:rPr>
        <w:sz w:val="20"/>
      </w:rPr>
    </w:pPr>
    <w:r w:rsidRPr="00014E7E">
      <w:rPr>
        <w:sz w:val="20"/>
      </w:rPr>
      <w:t>Product Development</w:t>
    </w:r>
  </w:p>
  <w:p w:rsidR="00403599" w:rsidRPr="00014E7E" w:rsidRDefault="00403599" w:rsidP="00403599">
    <w:pPr>
      <w:pBdr>
        <w:bottom w:val="single" w:sz="12" w:space="0" w:color="auto"/>
      </w:pBdr>
      <w:jc w:val="center"/>
      <w:rPr>
        <w:sz w:val="20"/>
      </w:rPr>
    </w:pPr>
  </w:p>
  <w:p w:rsidR="00403599" w:rsidRDefault="004035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2BA"/>
    <w:multiLevelType w:val="hybridMultilevel"/>
    <w:tmpl w:val="5C00C7AC"/>
    <w:lvl w:ilvl="0" w:tplc="CB588BA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7952A402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427D8C"/>
    <w:multiLevelType w:val="hybridMultilevel"/>
    <w:tmpl w:val="52DAC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60477F"/>
    <w:multiLevelType w:val="hybridMultilevel"/>
    <w:tmpl w:val="4F28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953ED"/>
    <w:multiLevelType w:val="hybridMultilevel"/>
    <w:tmpl w:val="F14E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376CE"/>
    <w:multiLevelType w:val="hybridMultilevel"/>
    <w:tmpl w:val="A852D07A"/>
    <w:lvl w:ilvl="0" w:tplc="7612217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EEB5F02"/>
    <w:multiLevelType w:val="hybridMultilevel"/>
    <w:tmpl w:val="2BDC0B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9D"/>
    <w:rsid w:val="0000738F"/>
    <w:rsid w:val="00014E7E"/>
    <w:rsid w:val="0008078B"/>
    <w:rsid w:val="000B4285"/>
    <w:rsid w:val="00186080"/>
    <w:rsid w:val="00235D7B"/>
    <w:rsid w:val="002E6292"/>
    <w:rsid w:val="00324D3D"/>
    <w:rsid w:val="00330454"/>
    <w:rsid w:val="0036018B"/>
    <w:rsid w:val="003C113B"/>
    <w:rsid w:val="00402749"/>
    <w:rsid w:val="00403599"/>
    <w:rsid w:val="00425550"/>
    <w:rsid w:val="00446B9E"/>
    <w:rsid w:val="00477A5E"/>
    <w:rsid w:val="004D7626"/>
    <w:rsid w:val="004F571A"/>
    <w:rsid w:val="00522D32"/>
    <w:rsid w:val="00533EB4"/>
    <w:rsid w:val="005942E3"/>
    <w:rsid w:val="005C0006"/>
    <w:rsid w:val="005F1106"/>
    <w:rsid w:val="00600CBA"/>
    <w:rsid w:val="006B17FF"/>
    <w:rsid w:val="00757E70"/>
    <w:rsid w:val="007625CD"/>
    <w:rsid w:val="00772DC5"/>
    <w:rsid w:val="007D4595"/>
    <w:rsid w:val="007E15FE"/>
    <w:rsid w:val="007F6206"/>
    <w:rsid w:val="00812ECB"/>
    <w:rsid w:val="00857ACB"/>
    <w:rsid w:val="008A7438"/>
    <w:rsid w:val="008E4EDE"/>
    <w:rsid w:val="008E720E"/>
    <w:rsid w:val="00910FEC"/>
    <w:rsid w:val="00914D44"/>
    <w:rsid w:val="00920444"/>
    <w:rsid w:val="00947EDD"/>
    <w:rsid w:val="00957401"/>
    <w:rsid w:val="0095769D"/>
    <w:rsid w:val="009F4716"/>
    <w:rsid w:val="00A25694"/>
    <w:rsid w:val="00A82683"/>
    <w:rsid w:val="00B15E29"/>
    <w:rsid w:val="00B57381"/>
    <w:rsid w:val="00B9467A"/>
    <w:rsid w:val="00BD0A33"/>
    <w:rsid w:val="00BD23E9"/>
    <w:rsid w:val="00C00A05"/>
    <w:rsid w:val="00C97F76"/>
    <w:rsid w:val="00D02674"/>
    <w:rsid w:val="00D503B5"/>
    <w:rsid w:val="00D57B17"/>
    <w:rsid w:val="00D819D7"/>
    <w:rsid w:val="00DA5DD4"/>
    <w:rsid w:val="00DB2F67"/>
    <w:rsid w:val="00DD492B"/>
    <w:rsid w:val="00DD6AFC"/>
    <w:rsid w:val="00E545A5"/>
    <w:rsid w:val="00E91960"/>
    <w:rsid w:val="00F90C7A"/>
    <w:rsid w:val="00FB4A1B"/>
    <w:rsid w:val="00FC3FBA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9D"/>
    <w:pPr>
      <w:spacing w:after="0" w:line="240" w:lineRule="auto"/>
    </w:pPr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769D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95769D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95769D"/>
    <w:pPr>
      <w:keepNext/>
      <w:jc w:val="both"/>
      <w:outlineLvl w:val="2"/>
    </w:pPr>
    <w:rPr>
      <w:bCs w:val="0"/>
      <w:spacing w:val="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95769D"/>
    <w:pPr>
      <w:keepNext/>
      <w:ind w:firstLine="3600"/>
      <w:outlineLvl w:val="3"/>
    </w:pPr>
    <w:rPr>
      <w:b/>
      <w:bCs w:val="0"/>
    </w:rPr>
  </w:style>
  <w:style w:type="paragraph" w:styleId="Heading6">
    <w:name w:val="heading 6"/>
    <w:basedOn w:val="Normal"/>
    <w:next w:val="Normal"/>
    <w:link w:val="Heading6Char"/>
    <w:qFormat/>
    <w:rsid w:val="0095769D"/>
    <w:pPr>
      <w:keepNext/>
      <w:jc w:val="center"/>
      <w:outlineLvl w:val="5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5769D"/>
    <w:rPr>
      <w:rFonts w:ascii="Times New Roman" w:eastAsia="Times New Roman" w:hAnsi="Times New Roman" w:cs="Times New Roman"/>
      <w:bCs/>
      <w:spacing w:val="-3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95769D"/>
    <w:rPr>
      <w:rFonts w:ascii="Times New Roman" w:eastAsia="Times New Roman" w:hAnsi="Times New Roman" w:cs="Times New Roman"/>
      <w:bCs/>
      <w:spacing w:val="-3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95769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95769D"/>
    <w:rPr>
      <w:rFonts w:ascii="Times New Roman" w:eastAsia="Times New Roman" w:hAnsi="Times New Roman" w:cs="Times New Roman"/>
      <w:b/>
      <w:spacing w:val="-3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5769D"/>
    <w:rPr>
      <w:rFonts w:ascii="Times New Roman" w:eastAsia="Times New Roman" w:hAnsi="Times New Roman" w:cs="Times New Roman"/>
      <w:b/>
      <w:spacing w:val="-3"/>
      <w:sz w:val="24"/>
      <w:szCs w:val="24"/>
    </w:rPr>
  </w:style>
  <w:style w:type="paragraph" w:styleId="BodyText">
    <w:name w:val="Body Text"/>
    <w:basedOn w:val="Normal"/>
    <w:link w:val="BodyTextChar"/>
    <w:rsid w:val="0095769D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95769D"/>
    <w:rPr>
      <w:rFonts w:ascii="Times New Roman" w:eastAsia="Times New Roman" w:hAnsi="Times New Roman" w:cs="Times New Roman"/>
      <w:bCs/>
      <w:spacing w:val="-3"/>
      <w:sz w:val="48"/>
      <w:szCs w:val="24"/>
    </w:rPr>
  </w:style>
  <w:style w:type="paragraph" w:styleId="BodyTextIndent">
    <w:name w:val="Body Text Indent"/>
    <w:basedOn w:val="Normal"/>
    <w:link w:val="BodyTextIndentChar"/>
    <w:rsid w:val="0095769D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95769D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Title">
    <w:name w:val="Title"/>
    <w:basedOn w:val="Normal"/>
    <w:link w:val="TitleChar"/>
    <w:qFormat/>
    <w:rsid w:val="0095769D"/>
    <w:pPr>
      <w:jc w:val="center"/>
    </w:pPr>
    <w:rPr>
      <w:rFonts w:ascii="Arial" w:hAnsi="Arial"/>
      <w:b/>
      <w:spacing w:val="0"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95769D"/>
    <w:rPr>
      <w:rFonts w:ascii="Arial" w:eastAsia="Times New Roman" w:hAnsi="Arial" w:cs="Times New Roman"/>
      <w:b/>
      <w:bCs/>
      <w:szCs w:val="20"/>
    </w:rPr>
  </w:style>
  <w:style w:type="paragraph" w:customStyle="1" w:styleId="3">
    <w:name w:val="3)"/>
    <w:basedOn w:val="Normal"/>
    <w:rsid w:val="0095769D"/>
    <w:pPr>
      <w:jc w:val="both"/>
    </w:pPr>
    <w:rPr>
      <w:bCs w:val="0"/>
      <w:spacing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3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599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599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99"/>
    <w:rPr>
      <w:rFonts w:ascii="Tahoma" w:eastAsia="Times New Roman" w:hAnsi="Tahoma" w:cs="Tahoma"/>
      <w:bCs/>
      <w:spacing w:val="-3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045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6B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6B9E"/>
    <w:rPr>
      <w:rFonts w:ascii="Times New Roman" w:eastAsia="Times New Roman" w:hAnsi="Times New Roman" w:cs="Times New Roman"/>
      <w:bCs/>
      <w:spacing w:val="-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6B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9D"/>
    <w:pPr>
      <w:spacing w:after="0" w:line="240" w:lineRule="auto"/>
    </w:pPr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769D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95769D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95769D"/>
    <w:pPr>
      <w:keepNext/>
      <w:jc w:val="both"/>
      <w:outlineLvl w:val="2"/>
    </w:pPr>
    <w:rPr>
      <w:bCs w:val="0"/>
      <w:spacing w:val="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95769D"/>
    <w:pPr>
      <w:keepNext/>
      <w:ind w:firstLine="3600"/>
      <w:outlineLvl w:val="3"/>
    </w:pPr>
    <w:rPr>
      <w:b/>
      <w:bCs w:val="0"/>
    </w:rPr>
  </w:style>
  <w:style w:type="paragraph" w:styleId="Heading6">
    <w:name w:val="heading 6"/>
    <w:basedOn w:val="Normal"/>
    <w:next w:val="Normal"/>
    <w:link w:val="Heading6Char"/>
    <w:qFormat/>
    <w:rsid w:val="0095769D"/>
    <w:pPr>
      <w:keepNext/>
      <w:jc w:val="center"/>
      <w:outlineLvl w:val="5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5769D"/>
    <w:rPr>
      <w:rFonts w:ascii="Times New Roman" w:eastAsia="Times New Roman" w:hAnsi="Times New Roman" w:cs="Times New Roman"/>
      <w:bCs/>
      <w:spacing w:val="-3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95769D"/>
    <w:rPr>
      <w:rFonts w:ascii="Times New Roman" w:eastAsia="Times New Roman" w:hAnsi="Times New Roman" w:cs="Times New Roman"/>
      <w:bCs/>
      <w:spacing w:val="-3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95769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95769D"/>
    <w:rPr>
      <w:rFonts w:ascii="Times New Roman" w:eastAsia="Times New Roman" w:hAnsi="Times New Roman" w:cs="Times New Roman"/>
      <w:b/>
      <w:spacing w:val="-3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5769D"/>
    <w:rPr>
      <w:rFonts w:ascii="Times New Roman" w:eastAsia="Times New Roman" w:hAnsi="Times New Roman" w:cs="Times New Roman"/>
      <w:b/>
      <w:spacing w:val="-3"/>
      <w:sz w:val="24"/>
      <w:szCs w:val="24"/>
    </w:rPr>
  </w:style>
  <w:style w:type="paragraph" w:styleId="BodyText">
    <w:name w:val="Body Text"/>
    <w:basedOn w:val="Normal"/>
    <w:link w:val="BodyTextChar"/>
    <w:rsid w:val="0095769D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95769D"/>
    <w:rPr>
      <w:rFonts w:ascii="Times New Roman" w:eastAsia="Times New Roman" w:hAnsi="Times New Roman" w:cs="Times New Roman"/>
      <w:bCs/>
      <w:spacing w:val="-3"/>
      <w:sz w:val="48"/>
      <w:szCs w:val="24"/>
    </w:rPr>
  </w:style>
  <w:style w:type="paragraph" w:styleId="BodyTextIndent">
    <w:name w:val="Body Text Indent"/>
    <w:basedOn w:val="Normal"/>
    <w:link w:val="BodyTextIndentChar"/>
    <w:rsid w:val="0095769D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95769D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Title">
    <w:name w:val="Title"/>
    <w:basedOn w:val="Normal"/>
    <w:link w:val="TitleChar"/>
    <w:qFormat/>
    <w:rsid w:val="0095769D"/>
    <w:pPr>
      <w:jc w:val="center"/>
    </w:pPr>
    <w:rPr>
      <w:rFonts w:ascii="Arial" w:hAnsi="Arial"/>
      <w:b/>
      <w:spacing w:val="0"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95769D"/>
    <w:rPr>
      <w:rFonts w:ascii="Arial" w:eastAsia="Times New Roman" w:hAnsi="Arial" w:cs="Times New Roman"/>
      <w:b/>
      <w:bCs/>
      <w:szCs w:val="20"/>
    </w:rPr>
  </w:style>
  <w:style w:type="paragraph" w:customStyle="1" w:styleId="3">
    <w:name w:val="3)"/>
    <w:basedOn w:val="Normal"/>
    <w:rsid w:val="0095769D"/>
    <w:pPr>
      <w:jc w:val="both"/>
    </w:pPr>
    <w:rPr>
      <w:bCs w:val="0"/>
      <w:spacing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3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599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599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99"/>
    <w:rPr>
      <w:rFonts w:ascii="Tahoma" w:eastAsia="Times New Roman" w:hAnsi="Tahoma" w:cs="Tahoma"/>
      <w:bCs/>
      <w:spacing w:val="-3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045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6B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6B9E"/>
    <w:rPr>
      <w:rFonts w:ascii="Times New Roman" w:eastAsia="Times New Roman" w:hAnsi="Times New Roman" w:cs="Times New Roman"/>
      <w:bCs/>
      <w:spacing w:val="-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6B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ealthcentercompliance.com/subscriber/pca-toolkit/volume-2/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D2F7-BC6E-48F0-BA3A-7D9CEACD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Feldesman Tucker Leifer Fidell LLP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Falcone, Adam J.</dc:creator>
  <cp:lastModifiedBy>Zimbro, Karen</cp:lastModifiedBy>
  <cp:revision>3</cp:revision>
  <cp:lastPrinted>2015-11-09T17:31:00Z</cp:lastPrinted>
  <dcterms:created xsi:type="dcterms:W3CDTF">2015-11-09T14:30:00Z</dcterms:created>
  <dcterms:modified xsi:type="dcterms:W3CDTF">2015-11-09T17:32:00Z</dcterms:modified>
</cp:coreProperties>
</file>