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6E" w:rsidRPr="00664FE2" w:rsidRDefault="00B21A58" w:rsidP="001E335E">
      <w:pPr>
        <w:pStyle w:val="Title"/>
        <w:rPr>
          <w:rFonts w:ascii="Times New Roman" w:hAnsi="Times New Roman"/>
          <w:kern w:val="2"/>
          <w:sz w:val="32"/>
          <w:szCs w:val="32"/>
        </w:rPr>
      </w:pPr>
      <w:bookmarkStart w:id="0" w:name="_GoBack"/>
      <w:bookmarkEnd w:id="0"/>
      <w:r w:rsidRPr="00664FE2">
        <w:rPr>
          <w:rFonts w:ascii="Times New Roman" w:hAnsi="Times New Roman"/>
          <w:kern w:val="2"/>
          <w:sz w:val="32"/>
          <w:szCs w:val="32"/>
        </w:rPr>
        <w:t>Time and Effort Reporting</w:t>
      </w:r>
      <w:r w:rsidR="001E335E" w:rsidRPr="00664FE2">
        <w:rPr>
          <w:rFonts w:ascii="Times New Roman" w:hAnsi="Times New Roman"/>
          <w:kern w:val="2"/>
          <w:sz w:val="32"/>
          <w:szCs w:val="32"/>
        </w:rPr>
        <w:t>:  Sample Policy and Procedure</w:t>
      </w:r>
      <w:r w:rsidR="0041516E" w:rsidRPr="00664FE2">
        <w:rPr>
          <w:rStyle w:val="FootnoteReference"/>
          <w:rFonts w:ascii="Times New Roman" w:hAnsi="Times New Roman"/>
          <w:kern w:val="2"/>
          <w:sz w:val="24"/>
        </w:rPr>
        <w:footnoteReference w:id="1"/>
      </w:r>
    </w:p>
    <w:p w:rsidR="00B21A58" w:rsidRPr="00664FE2" w:rsidRDefault="00B21A58" w:rsidP="001E335E">
      <w:pPr>
        <w:pBdr>
          <w:bottom w:val="single" w:sz="12" w:space="1" w:color="auto"/>
        </w:pBdr>
        <w:autoSpaceDE w:val="0"/>
        <w:autoSpaceDN w:val="0"/>
        <w:adjustRightInd w:val="0"/>
        <w:jc w:val="both"/>
        <w:rPr>
          <w:kern w:val="2"/>
        </w:rPr>
      </w:pPr>
    </w:p>
    <w:p w:rsidR="0041516E" w:rsidRPr="00664FE2" w:rsidRDefault="0041516E" w:rsidP="001E335E">
      <w:pPr>
        <w:jc w:val="both"/>
        <w:rPr>
          <w:b/>
          <w:bCs/>
          <w:kern w:val="2"/>
          <w:u w:val="single"/>
        </w:rPr>
      </w:pPr>
    </w:p>
    <w:p w:rsidR="0026750D" w:rsidRPr="00664FE2" w:rsidRDefault="00B21A58" w:rsidP="001E335E">
      <w:pPr>
        <w:jc w:val="both"/>
        <w:rPr>
          <w:b/>
          <w:kern w:val="2"/>
        </w:rPr>
      </w:pPr>
      <w:r w:rsidRPr="00664FE2">
        <w:rPr>
          <w:b/>
          <w:kern w:val="2"/>
        </w:rPr>
        <w:t>Policy.</w:t>
      </w:r>
    </w:p>
    <w:p w:rsidR="0026750D" w:rsidRPr="00664FE2" w:rsidRDefault="0026750D" w:rsidP="001E335E">
      <w:pPr>
        <w:jc w:val="both"/>
        <w:rPr>
          <w:b/>
          <w:kern w:val="2"/>
          <w:u w:val="single"/>
        </w:rPr>
      </w:pPr>
    </w:p>
    <w:p w:rsidR="0026750D" w:rsidRPr="00664FE2" w:rsidRDefault="0026750D" w:rsidP="001E335E">
      <w:pPr>
        <w:autoSpaceDE w:val="0"/>
        <w:autoSpaceDN w:val="0"/>
        <w:adjustRightInd w:val="0"/>
        <w:jc w:val="both"/>
        <w:rPr>
          <w:kern w:val="2"/>
        </w:rPr>
      </w:pPr>
      <w:r w:rsidRPr="00664FE2">
        <w:rPr>
          <w:kern w:val="2"/>
        </w:rPr>
        <w:t xml:space="preserve">As a condition to receiving federal funding (grants, subgrants and cooperative agreements), </w:t>
      </w:r>
      <w:r w:rsidR="00C87374" w:rsidRPr="00664FE2">
        <w:rPr>
          <w:i/>
          <w:kern w:val="2"/>
        </w:rPr>
        <w:t>[Health Center Name]</w:t>
      </w:r>
      <w:r w:rsidR="00C87374" w:rsidRPr="00664FE2">
        <w:rPr>
          <w:kern w:val="2"/>
        </w:rPr>
        <w:t xml:space="preserve"> (“Health Center”) </w:t>
      </w:r>
      <w:r w:rsidRPr="00664FE2">
        <w:rPr>
          <w:kern w:val="2"/>
        </w:rPr>
        <w:t>is required to maintain specific documentation confirming the time and effort devoted to federally funded sponsored projects by its employees. Accordingly, detailed below is the process that a</w:t>
      </w:r>
      <w:r w:rsidR="00C87374" w:rsidRPr="00664FE2">
        <w:rPr>
          <w:kern w:val="2"/>
        </w:rPr>
        <w:t>ll</w:t>
      </w:r>
      <w:r w:rsidRPr="00664FE2">
        <w:rPr>
          <w:kern w:val="2"/>
        </w:rPr>
        <w:t xml:space="preserve"> </w:t>
      </w:r>
      <w:r w:rsidR="0075053E" w:rsidRPr="00664FE2">
        <w:rPr>
          <w:kern w:val="2"/>
        </w:rPr>
        <w:t>Health Center</w:t>
      </w:r>
      <w:r w:rsidRPr="00664FE2">
        <w:rPr>
          <w:kern w:val="2"/>
        </w:rPr>
        <w:t xml:space="preserve"> employees must follow to document their time and effort as required by </w:t>
      </w:r>
      <w:r w:rsidR="00AC60E0" w:rsidRPr="00664FE2">
        <w:rPr>
          <w:kern w:val="2"/>
        </w:rPr>
        <w:t>45 C.F.R. Part 75, Subpart E</w:t>
      </w:r>
      <w:r w:rsidRPr="00664FE2">
        <w:rPr>
          <w:kern w:val="2"/>
        </w:rPr>
        <w:t>.  Adherence to this procedure is necessary to prevent cost disallowances and penalties by the federal government and other agencies.</w:t>
      </w:r>
    </w:p>
    <w:p w:rsidR="0026750D" w:rsidRPr="00664FE2" w:rsidRDefault="0026750D" w:rsidP="001E335E">
      <w:pPr>
        <w:autoSpaceDE w:val="0"/>
        <w:autoSpaceDN w:val="0"/>
        <w:adjustRightInd w:val="0"/>
        <w:jc w:val="both"/>
        <w:rPr>
          <w:kern w:val="2"/>
        </w:rPr>
      </w:pPr>
    </w:p>
    <w:p w:rsidR="00DB567A" w:rsidRPr="00664FE2" w:rsidRDefault="00AC60E0" w:rsidP="001E335E">
      <w:pPr>
        <w:autoSpaceDE w:val="0"/>
        <w:autoSpaceDN w:val="0"/>
        <w:adjustRightInd w:val="0"/>
        <w:jc w:val="both"/>
        <w:rPr>
          <w:kern w:val="2"/>
        </w:rPr>
      </w:pPr>
      <w:r w:rsidRPr="00664FE2">
        <w:rPr>
          <w:kern w:val="2"/>
        </w:rPr>
        <w:t>Subpart E to 45 C.F.R. Part 75</w:t>
      </w:r>
      <w:r w:rsidR="0026750D" w:rsidRPr="00664FE2">
        <w:rPr>
          <w:kern w:val="2"/>
        </w:rPr>
        <w:t xml:space="preserve"> </w:t>
      </w:r>
      <w:r w:rsidR="00D03437" w:rsidRPr="00664FE2">
        <w:rPr>
          <w:kern w:val="2"/>
        </w:rPr>
        <w:t>sets forth the requirements</w:t>
      </w:r>
      <w:r w:rsidR="0026750D" w:rsidRPr="00664FE2">
        <w:rPr>
          <w:kern w:val="2"/>
        </w:rPr>
        <w:t xml:space="preserve"> governing time and effort reporting and the verification of salary distributions. Specifically, </w:t>
      </w:r>
      <w:r w:rsidR="00D03437" w:rsidRPr="00FC611F">
        <w:rPr>
          <w:kern w:val="2"/>
        </w:rPr>
        <w:t>45 C.F.R. § 75.430</w:t>
      </w:r>
      <w:r w:rsidR="00D03437" w:rsidRPr="00664FE2">
        <w:rPr>
          <w:kern w:val="2"/>
        </w:rPr>
        <w:t xml:space="preserve"> (entitled </w:t>
      </w:r>
      <w:r w:rsidR="000B4F17" w:rsidRPr="00664FE2">
        <w:rPr>
          <w:kern w:val="2"/>
        </w:rPr>
        <w:t>“Compensation – personal services”)</w:t>
      </w:r>
      <w:r w:rsidR="0026750D" w:rsidRPr="00664FE2">
        <w:rPr>
          <w:kern w:val="2"/>
        </w:rPr>
        <w:t xml:space="preserve"> </w:t>
      </w:r>
      <w:r w:rsidR="00635668" w:rsidRPr="00664FE2">
        <w:rPr>
          <w:kern w:val="2"/>
        </w:rPr>
        <w:t xml:space="preserve">provides </w:t>
      </w:r>
      <w:r w:rsidR="003B4345" w:rsidRPr="00664FE2">
        <w:rPr>
          <w:kern w:val="2"/>
        </w:rPr>
        <w:t>that “[c]harges to Federal awards for salaries and wages must be based on records that accurately reflect the work performed.</w:t>
      </w:r>
      <w:r w:rsidR="00635668" w:rsidRPr="00664FE2">
        <w:rPr>
          <w:kern w:val="2"/>
        </w:rPr>
        <w:t>”</w:t>
      </w:r>
      <w:r w:rsidR="003B4345" w:rsidRPr="00664FE2">
        <w:rPr>
          <w:kern w:val="2"/>
        </w:rPr>
        <w:t xml:space="preserve"> </w:t>
      </w:r>
      <w:r w:rsidR="00635668" w:rsidRPr="00664FE2">
        <w:rPr>
          <w:kern w:val="2"/>
        </w:rPr>
        <w:t xml:space="preserve"> Among other things, such</w:t>
      </w:r>
      <w:r w:rsidR="00121649" w:rsidRPr="00664FE2">
        <w:rPr>
          <w:kern w:val="2"/>
        </w:rPr>
        <w:t xml:space="preserve"> records must “[r]</w:t>
      </w:r>
      <w:r w:rsidR="003B4345" w:rsidRPr="00664FE2">
        <w:rPr>
          <w:kern w:val="2"/>
        </w:rPr>
        <w:t>easonably reflect the total activity for which the employee is compensated by the non-Federal entity,</w:t>
      </w:r>
      <w:r w:rsidR="00121649" w:rsidRPr="00664FE2">
        <w:rPr>
          <w:kern w:val="2"/>
        </w:rPr>
        <w:t>” “[e]</w:t>
      </w:r>
      <w:r w:rsidR="003B4345" w:rsidRPr="00664FE2">
        <w:rPr>
          <w:kern w:val="2"/>
        </w:rPr>
        <w:t>ncompass both federally assisted and all other activities compensated by the non-Federal entity</w:t>
      </w:r>
      <w:r w:rsidR="005D4FB3" w:rsidRPr="00664FE2">
        <w:rPr>
          <w:kern w:val="2"/>
        </w:rPr>
        <w:t>,” and “[s]</w:t>
      </w:r>
      <w:r w:rsidR="003B4345" w:rsidRPr="00664FE2">
        <w:rPr>
          <w:kern w:val="2"/>
        </w:rPr>
        <w:t>upport t</w:t>
      </w:r>
      <w:r w:rsidR="007A214E" w:rsidRPr="00664FE2">
        <w:rPr>
          <w:kern w:val="2"/>
        </w:rPr>
        <w:t>he distribution of the employee’</w:t>
      </w:r>
      <w:r w:rsidR="003B4345" w:rsidRPr="00664FE2">
        <w:rPr>
          <w:kern w:val="2"/>
        </w:rPr>
        <w:t>s salary or wages among specific activities or cost objectives</w:t>
      </w:r>
      <w:r w:rsidR="005D4FB3" w:rsidRPr="00664FE2">
        <w:rPr>
          <w:kern w:val="2"/>
        </w:rPr>
        <w:t>”</w:t>
      </w:r>
      <w:r w:rsidR="003B4345" w:rsidRPr="00664FE2">
        <w:rPr>
          <w:kern w:val="2"/>
        </w:rPr>
        <w:t xml:space="preserve"> if the employee works on more than one </w:t>
      </w:r>
      <w:r w:rsidR="005D4FB3" w:rsidRPr="00664FE2">
        <w:rPr>
          <w:kern w:val="2"/>
        </w:rPr>
        <w:t>activity or cost objective.</w:t>
      </w:r>
      <w:r w:rsidR="0026750D" w:rsidRPr="00664FE2">
        <w:rPr>
          <w:kern w:val="2"/>
        </w:rPr>
        <w:t xml:space="preserve">  </w:t>
      </w:r>
    </w:p>
    <w:p w:rsidR="00DB567A" w:rsidRPr="00664FE2" w:rsidRDefault="00DB567A" w:rsidP="001E335E">
      <w:pPr>
        <w:autoSpaceDE w:val="0"/>
        <w:autoSpaceDN w:val="0"/>
        <w:adjustRightInd w:val="0"/>
        <w:jc w:val="both"/>
        <w:rPr>
          <w:kern w:val="2"/>
        </w:rPr>
      </w:pPr>
    </w:p>
    <w:p w:rsidR="00C973CB" w:rsidRPr="00664FE2" w:rsidRDefault="0026750D" w:rsidP="001E335E">
      <w:pPr>
        <w:autoSpaceDE w:val="0"/>
        <w:autoSpaceDN w:val="0"/>
        <w:adjustRightInd w:val="0"/>
        <w:jc w:val="both"/>
        <w:rPr>
          <w:kern w:val="2"/>
        </w:rPr>
      </w:pPr>
      <w:r w:rsidRPr="00664FE2">
        <w:rPr>
          <w:kern w:val="2"/>
        </w:rPr>
        <w:t xml:space="preserve">In order to meet these requirements, </w:t>
      </w:r>
      <w:r w:rsidR="00DB567A" w:rsidRPr="00664FE2">
        <w:rPr>
          <w:kern w:val="2"/>
        </w:rPr>
        <w:t>Health Center</w:t>
      </w:r>
      <w:r w:rsidRPr="00664FE2">
        <w:rPr>
          <w:kern w:val="2"/>
        </w:rPr>
        <w:t xml:space="preserve"> has instituted an activity confirmation system.  This system meets the basic requirements of </w:t>
      </w:r>
      <w:r w:rsidR="00E60937" w:rsidRPr="00664FE2">
        <w:rPr>
          <w:kern w:val="2"/>
        </w:rPr>
        <w:t>45 C.F.R. § 75.430</w:t>
      </w:r>
      <w:r w:rsidRPr="00664FE2">
        <w:rPr>
          <w:kern w:val="2"/>
        </w:rPr>
        <w:t xml:space="preserve"> by:</w:t>
      </w:r>
    </w:p>
    <w:p w:rsidR="00DA4B71" w:rsidRPr="00664FE2" w:rsidRDefault="00DA4B71" w:rsidP="001E335E">
      <w:pPr>
        <w:autoSpaceDE w:val="0"/>
        <w:autoSpaceDN w:val="0"/>
        <w:adjustRightInd w:val="0"/>
        <w:jc w:val="both"/>
        <w:rPr>
          <w:kern w:val="2"/>
        </w:rPr>
      </w:pPr>
    </w:p>
    <w:p w:rsidR="00DA4B71" w:rsidRPr="00664FE2" w:rsidRDefault="00DA4B71" w:rsidP="001E335E">
      <w:pPr>
        <w:numPr>
          <w:ilvl w:val="0"/>
          <w:numId w:val="16"/>
        </w:numPr>
        <w:autoSpaceDE w:val="0"/>
        <w:autoSpaceDN w:val="0"/>
        <w:adjustRightInd w:val="0"/>
        <w:jc w:val="both"/>
        <w:rPr>
          <w:kern w:val="2"/>
        </w:rPr>
      </w:pPr>
      <w:r w:rsidRPr="00664FE2">
        <w:rPr>
          <w:kern w:val="2"/>
        </w:rPr>
        <w:t>Reflecting an after-the-fact determination of the actual activity of each employee;</w:t>
      </w:r>
    </w:p>
    <w:p w:rsidR="00DA4B71" w:rsidRPr="00664FE2" w:rsidRDefault="00DA4B71" w:rsidP="001E335E">
      <w:pPr>
        <w:numPr>
          <w:ilvl w:val="0"/>
          <w:numId w:val="16"/>
        </w:numPr>
        <w:autoSpaceDE w:val="0"/>
        <w:autoSpaceDN w:val="0"/>
        <w:adjustRightInd w:val="0"/>
        <w:jc w:val="both"/>
        <w:rPr>
          <w:kern w:val="2"/>
        </w:rPr>
      </w:pPr>
      <w:r w:rsidRPr="00664FE2">
        <w:rPr>
          <w:kern w:val="2"/>
        </w:rPr>
        <w:t>Accounting for the total activity for which employees are compensated;</w:t>
      </w:r>
    </w:p>
    <w:p w:rsidR="00DA4B71" w:rsidRPr="00664FE2" w:rsidRDefault="00DA4B71" w:rsidP="001E335E">
      <w:pPr>
        <w:numPr>
          <w:ilvl w:val="0"/>
          <w:numId w:val="16"/>
        </w:numPr>
        <w:autoSpaceDE w:val="0"/>
        <w:autoSpaceDN w:val="0"/>
        <w:adjustRightInd w:val="0"/>
        <w:jc w:val="both"/>
        <w:rPr>
          <w:kern w:val="2"/>
        </w:rPr>
      </w:pPr>
      <w:r w:rsidRPr="00664FE2">
        <w:rPr>
          <w:kern w:val="2"/>
        </w:rPr>
        <w:t>Providing for confirmation of activity by the employee; and</w:t>
      </w:r>
    </w:p>
    <w:p w:rsidR="00C973CB" w:rsidRPr="00664FE2" w:rsidRDefault="00DA4B71" w:rsidP="001E335E">
      <w:pPr>
        <w:numPr>
          <w:ilvl w:val="0"/>
          <w:numId w:val="16"/>
        </w:numPr>
        <w:autoSpaceDE w:val="0"/>
        <w:autoSpaceDN w:val="0"/>
        <w:adjustRightInd w:val="0"/>
        <w:jc w:val="both"/>
        <w:rPr>
          <w:kern w:val="2"/>
        </w:rPr>
      </w:pPr>
      <w:r w:rsidRPr="00664FE2">
        <w:rPr>
          <w:kern w:val="2"/>
        </w:rPr>
        <w:t>Meeting the timeliness requirement through bi-weekly confirmation.</w:t>
      </w:r>
    </w:p>
    <w:p w:rsidR="0026750D" w:rsidRPr="00664FE2" w:rsidRDefault="0026750D" w:rsidP="001E335E">
      <w:pPr>
        <w:autoSpaceDE w:val="0"/>
        <w:autoSpaceDN w:val="0"/>
        <w:adjustRightInd w:val="0"/>
        <w:jc w:val="both"/>
        <w:rPr>
          <w:kern w:val="2"/>
        </w:rPr>
      </w:pPr>
    </w:p>
    <w:p w:rsidR="0026750D" w:rsidRPr="00664FE2" w:rsidRDefault="0026750D" w:rsidP="001E335E">
      <w:pPr>
        <w:autoSpaceDE w:val="0"/>
        <w:autoSpaceDN w:val="0"/>
        <w:adjustRightInd w:val="0"/>
        <w:jc w:val="both"/>
        <w:rPr>
          <w:kern w:val="2"/>
        </w:rPr>
      </w:pPr>
      <w:r w:rsidRPr="00664FE2">
        <w:rPr>
          <w:kern w:val="2"/>
        </w:rPr>
        <w:t xml:space="preserve">Supervisors are responsible for ensuring that the time distribution for their employees maintained in Human Resources is accurate and consistent with this Policy.  </w:t>
      </w:r>
    </w:p>
    <w:p w:rsidR="0026750D" w:rsidRPr="00664FE2" w:rsidRDefault="0026750D" w:rsidP="001E335E">
      <w:pPr>
        <w:jc w:val="both"/>
        <w:rPr>
          <w:b/>
          <w:kern w:val="2"/>
          <w:u w:val="single"/>
        </w:rPr>
      </w:pPr>
    </w:p>
    <w:p w:rsidR="00702A29" w:rsidRPr="00664FE2" w:rsidRDefault="009025C5" w:rsidP="001E335E">
      <w:pPr>
        <w:jc w:val="both"/>
        <w:rPr>
          <w:b/>
          <w:kern w:val="2"/>
        </w:rPr>
      </w:pPr>
      <w:r w:rsidRPr="00664FE2">
        <w:rPr>
          <w:b/>
          <w:kern w:val="2"/>
        </w:rPr>
        <w:t>Procedure</w:t>
      </w:r>
      <w:r w:rsidR="00B21A58" w:rsidRPr="00664FE2">
        <w:rPr>
          <w:b/>
          <w:kern w:val="2"/>
        </w:rPr>
        <w:t>.</w:t>
      </w:r>
      <w:r w:rsidR="0041516E" w:rsidRPr="00664FE2">
        <w:rPr>
          <w:rStyle w:val="FootnoteReference"/>
          <w:b/>
          <w:kern w:val="2"/>
        </w:rPr>
        <w:footnoteReference w:id="2"/>
      </w:r>
    </w:p>
    <w:p w:rsidR="00AA461D" w:rsidRPr="00664FE2" w:rsidRDefault="00AA461D" w:rsidP="001E335E">
      <w:pPr>
        <w:autoSpaceDE w:val="0"/>
        <w:autoSpaceDN w:val="0"/>
        <w:adjustRightInd w:val="0"/>
        <w:jc w:val="both"/>
        <w:rPr>
          <w:b/>
          <w:bCs/>
          <w:kern w:val="2"/>
        </w:rPr>
      </w:pPr>
    </w:p>
    <w:p w:rsidR="004B0EF2" w:rsidRPr="00664FE2" w:rsidRDefault="004B0EF2" w:rsidP="001E335E">
      <w:pPr>
        <w:autoSpaceDE w:val="0"/>
        <w:autoSpaceDN w:val="0"/>
        <w:adjustRightInd w:val="0"/>
        <w:jc w:val="both"/>
        <w:rPr>
          <w:b/>
          <w:bCs/>
          <w:kern w:val="2"/>
        </w:rPr>
      </w:pPr>
      <w:r w:rsidRPr="00664FE2">
        <w:rPr>
          <w:b/>
          <w:bCs/>
          <w:kern w:val="2"/>
        </w:rPr>
        <w:lastRenderedPageBreak/>
        <w:t>Reporting Time &amp; Effort</w:t>
      </w:r>
    </w:p>
    <w:p w:rsidR="004B0EF2" w:rsidRPr="00664FE2" w:rsidRDefault="004B0EF2" w:rsidP="001E335E">
      <w:pPr>
        <w:autoSpaceDE w:val="0"/>
        <w:autoSpaceDN w:val="0"/>
        <w:adjustRightInd w:val="0"/>
        <w:jc w:val="both"/>
        <w:rPr>
          <w:b/>
          <w:bCs/>
          <w:kern w:val="2"/>
        </w:rPr>
      </w:pPr>
    </w:p>
    <w:p w:rsidR="00AA461D" w:rsidRPr="00664FE2" w:rsidRDefault="00AA461D" w:rsidP="001E335E">
      <w:pPr>
        <w:numPr>
          <w:ilvl w:val="0"/>
          <w:numId w:val="14"/>
        </w:numPr>
        <w:autoSpaceDE w:val="0"/>
        <w:autoSpaceDN w:val="0"/>
        <w:adjustRightInd w:val="0"/>
        <w:jc w:val="both"/>
        <w:rPr>
          <w:kern w:val="2"/>
        </w:rPr>
      </w:pPr>
      <w:r w:rsidRPr="00664FE2">
        <w:rPr>
          <w:kern w:val="2"/>
        </w:rPr>
        <w:t xml:space="preserve">The </w:t>
      </w:r>
      <w:r w:rsidR="00A03B58" w:rsidRPr="00664FE2">
        <w:rPr>
          <w:kern w:val="2"/>
        </w:rPr>
        <w:t>Activity Report</w:t>
      </w:r>
      <w:r w:rsidRPr="00664FE2">
        <w:rPr>
          <w:kern w:val="2"/>
        </w:rPr>
        <w:t xml:space="preserve"> of all salaried and hourly employees will be documented in the electronic time collection system </w:t>
      </w:r>
      <w:r w:rsidR="004B0EF2" w:rsidRPr="00664FE2">
        <w:rPr>
          <w:kern w:val="2"/>
        </w:rPr>
        <w:t xml:space="preserve">and </w:t>
      </w:r>
      <w:r w:rsidR="00A03B58" w:rsidRPr="00664FE2">
        <w:rPr>
          <w:kern w:val="2"/>
        </w:rPr>
        <w:t>confirmed by the employee</w:t>
      </w:r>
      <w:r w:rsidR="004B0EF2" w:rsidRPr="00664FE2">
        <w:rPr>
          <w:kern w:val="2"/>
        </w:rPr>
        <w:t xml:space="preserve"> </w:t>
      </w:r>
      <w:r w:rsidRPr="00664FE2">
        <w:rPr>
          <w:kern w:val="2"/>
        </w:rPr>
        <w:t>on a bi-weekly basis.</w:t>
      </w:r>
    </w:p>
    <w:p w:rsidR="00AA461D" w:rsidRPr="00664FE2" w:rsidRDefault="004B0EF2" w:rsidP="001E335E">
      <w:pPr>
        <w:numPr>
          <w:ilvl w:val="0"/>
          <w:numId w:val="14"/>
        </w:numPr>
        <w:autoSpaceDE w:val="0"/>
        <w:autoSpaceDN w:val="0"/>
        <w:adjustRightInd w:val="0"/>
        <w:jc w:val="both"/>
        <w:rPr>
          <w:kern w:val="2"/>
        </w:rPr>
      </w:pPr>
      <w:r w:rsidRPr="00664FE2">
        <w:rPr>
          <w:kern w:val="2"/>
        </w:rPr>
        <w:t xml:space="preserve">The </w:t>
      </w:r>
      <w:r w:rsidR="00A03B58" w:rsidRPr="00664FE2">
        <w:rPr>
          <w:kern w:val="2"/>
        </w:rPr>
        <w:t>Activity Report</w:t>
      </w:r>
      <w:r w:rsidRPr="00664FE2">
        <w:rPr>
          <w:kern w:val="2"/>
        </w:rPr>
        <w:t xml:space="preserve"> will reflect </w:t>
      </w:r>
      <w:r w:rsidR="00AA461D" w:rsidRPr="00664FE2">
        <w:rPr>
          <w:kern w:val="2"/>
        </w:rPr>
        <w:t xml:space="preserve">the distribution of the employee’s total period compensation across all </w:t>
      </w:r>
      <w:r w:rsidR="00C973CB" w:rsidRPr="00664FE2">
        <w:rPr>
          <w:kern w:val="2"/>
        </w:rPr>
        <w:t xml:space="preserve">of </w:t>
      </w:r>
      <w:r w:rsidR="00E60937" w:rsidRPr="00664FE2">
        <w:rPr>
          <w:kern w:val="2"/>
        </w:rPr>
        <w:t>Health Center</w:t>
      </w:r>
      <w:r w:rsidR="00C973CB" w:rsidRPr="00664FE2">
        <w:rPr>
          <w:kern w:val="2"/>
        </w:rPr>
        <w:t>’s</w:t>
      </w:r>
      <w:r w:rsidR="00AA461D" w:rsidRPr="00664FE2">
        <w:rPr>
          <w:kern w:val="2"/>
        </w:rPr>
        <w:t xml:space="preserve"> functions, including work on </w:t>
      </w:r>
      <w:r w:rsidR="00A03B58" w:rsidRPr="00664FE2">
        <w:rPr>
          <w:kern w:val="2"/>
        </w:rPr>
        <w:t>federal and non-federal</w:t>
      </w:r>
      <w:r w:rsidR="00AA461D" w:rsidRPr="00664FE2">
        <w:rPr>
          <w:kern w:val="2"/>
        </w:rPr>
        <w:t xml:space="preserve"> projects.  </w:t>
      </w:r>
    </w:p>
    <w:p w:rsidR="00AA461D" w:rsidRPr="00664FE2" w:rsidRDefault="00AA461D" w:rsidP="001E335E">
      <w:pPr>
        <w:numPr>
          <w:ilvl w:val="0"/>
          <w:numId w:val="14"/>
        </w:numPr>
        <w:autoSpaceDE w:val="0"/>
        <w:autoSpaceDN w:val="0"/>
        <w:adjustRightInd w:val="0"/>
        <w:jc w:val="both"/>
        <w:rPr>
          <w:kern w:val="2"/>
        </w:rPr>
      </w:pPr>
      <w:r w:rsidRPr="00664FE2">
        <w:rPr>
          <w:kern w:val="2"/>
        </w:rPr>
        <w:t xml:space="preserve">All </w:t>
      </w:r>
      <w:r w:rsidR="00A03B58" w:rsidRPr="00664FE2">
        <w:rPr>
          <w:kern w:val="2"/>
        </w:rPr>
        <w:t>Activity Reports</w:t>
      </w:r>
      <w:r w:rsidRPr="00664FE2">
        <w:rPr>
          <w:kern w:val="2"/>
        </w:rPr>
        <w:t xml:space="preserve"> will account for </w:t>
      </w:r>
      <w:r w:rsidR="00A03B58" w:rsidRPr="00664FE2">
        <w:rPr>
          <w:kern w:val="2"/>
        </w:rPr>
        <w:t>the total activity of the employee</w:t>
      </w:r>
      <w:r w:rsidRPr="00664FE2">
        <w:rPr>
          <w:kern w:val="2"/>
        </w:rPr>
        <w:t>.</w:t>
      </w:r>
    </w:p>
    <w:p w:rsidR="00AA461D" w:rsidRPr="00664FE2" w:rsidRDefault="004B0EF2" w:rsidP="001E335E">
      <w:pPr>
        <w:numPr>
          <w:ilvl w:val="0"/>
          <w:numId w:val="14"/>
        </w:numPr>
        <w:autoSpaceDE w:val="0"/>
        <w:autoSpaceDN w:val="0"/>
        <w:adjustRightInd w:val="0"/>
        <w:jc w:val="both"/>
        <w:rPr>
          <w:kern w:val="2"/>
        </w:rPr>
      </w:pPr>
      <w:r w:rsidRPr="00664FE2">
        <w:rPr>
          <w:kern w:val="2"/>
        </w:rPr>
        <w:t xml:space="preserve">With each authorization of the bi-weekly </w:t>
      </w:r>
      <w:r w:rsidR="008560B1" w:rsidRPr="00664FE2">
        <w:rPr>
          <w:kern w:val="2"/>
        </w:rPr>
        <w:t>Activity Report</w:t>
      </w:r>
      <w:r w:rsidRPr="00664FE2">
        <w:rPr>
          <w:kern w:val="2"/>
        </w:rPr>
        <w:t xml:space="preserve">, the </w:t>
      </w:r>
      <w:r w:rsidR="008560B1" w:rsidRPr="00664FE2">
        <w:rPr>
          <w:kern w:val="2"/>
        </w:rPr>
        <w:t>employee is confirming</w:t>
      </w:r>
      <w:r w:rsidRPr="00664FE2">
        <w:rPr>
          <w:kern w:val="2"/>
        </w:rPr>
        <w:t xml:space="preserve"> </w:t>
      </w:r>
      <w:r w:rsidR="008560B1" w:rsidRPr="00664FE2">
        <w:rPr>
          <w:kern w:val="2"/>
        </w:rPr>
        <w:t xml:space="preserve">that the </w:t>
      </w:r>
      <w:r w:rsidRPr="00664FE2">
        <w:rPr>
          <w:kern w:val="2"/>
        </w:rPr>
        <w:t>time and effort reported</w:t>
      </w:r>
      <w:r w:rsidR="00AA461D" w:rsidRPr="00664FE2">
        <w:rPr>
          <w:kern w:val="2"/>
        </w:rPr>
        <w:t>, to the</w:t>
      </w:r>
      <w:r w:rsidRPr="00664FE2">
        <w:rPr>
          <w:kern w:val="2"/>
        </w:rPr>
        <w:t xml:space="preserve"> </w:t>
      </w:r>
      <w:r w:rsidR="0026750D" w:rsidRPr="00664FE2">
        <w:rPr>
          <w:kern w:val="2"/>
        </w:rPr>
        <w:t>best of his or her</w:t>
      </w:r>
      <w:r w:rsidR="00AA461D" w:rsidRPr="00664FE2">
        <w:rPr>
          <w:kern w:val="2"/>
        </w:rPr>
        <w:t xml:space="preserve"> knowledge, accurately reflect</w:t>
      </w:r>
      <w:r w:rsidRPr="00664FE2">
        <w:rPr>
          <w:kern w:val="2"/>
        </w:rPr>
        <w:t>s</w:t>
      </w:r>
      <w:r w:rsidR="00AA461D" w:rsidRPr="00664FE2">
        <w:rPr>
          <w:kern w:val="2"/>
        </w:rPr>
        <w:t xml:space="preserve"> the effort </w:t>
      </w:r>
      <w:r w:rsidRPr="00664FE2">
        <w:rPr>
          <w:kern w:val="2"/>
        </w:rPr>
        <w:t xml:space="preserve">assigned across </w:t>
      </w:r>
      <w:r w:rsidR="00AA461D" w:rsidRPr="00664FE2">
        <w:rPr>
          <w:kern w:val="2"/>
        </w:rPr>
        <w:t>all activities.</w:t>
      </w:r>
    </w:p>
    <w:p w:rsidR="008560B1" w:rsidRPr="00664FE2" w:rsidRDefault="008560B1" w:rsidP="001E335E">
      <w:pPr>
        <w:numPr>
          <w:ilvl w:val="0"/>
          <w:numId w:val="14"/>
        </w:numPr>
        <w:autoSpaceDE w:val="0"/>
        <w:autoSpaceDN w:val="0"/>
        <w:adjustRightInd w:val="0"/>
        <w:jc w:val="both"/>
        <w:rPr>
          <w:kern w:val="2"/>
        </w:rPr>
      </w:pPr>
      <w:r w:rsidRPr="00664FE2">
        <w:rPr>
          <w:kern w:val="2"/>
        </w:rPr>
        <w:t xml:space="preserve">Each supervisor will review and approve their direct reports’ activity. </w:t>
      </w:r>
    </w:p>
    <w:p w:rsidR="00AA461D" w:rsidRPr="00664FE2" w:rsidRDefault="00AA461D" w:rsidP="001E335E">
      <w:pPr>
        <w:jc w:val="both"/>
        <w:rPr>
          <w:b/>
          <w:kern w:val="2"/>
          <w:u w:val="single"/>
        </w:rPr>
      </w:pPr>
    </w:p>
    <w:p w:rsidR="00C230FE" w:rsidRPr="00664FE2" w:rsidRDefault="008560B1" w:rsidP="001E335E">
      <w:pPr>
        <w:autoSpaceDE w:val="0"/>
        <w:autoSpaceDN w:val="0"/>
        <w:adjustRightInd w:val="0"/>
        <w:jc w:val="both"/>
        <w:rPr>
          <w:b/>
          <w:bCs/>
          <w:kern w:val="2"/>
        </w:rPr>
      </w:pPr>
      <w:r w:rsidRPr="00664FE2">
        <w:rPr>
          <w:b/>
          <w:bCs/>
          <w:kern w:val="2"/>
        </w:rPr>
        <w:t>Additional Matters</w:t>
      </w:r>
    </w:p>
    <w:p w:rsidR="00C230FE" w:rsidRPr="00664FE2" w:rsidRDefault="00C230FE" w:rsidP="001E335E">
      <w:pPr>
        <w:autoSpaceDE w:val="0"/>
        <w:autoSpaceDN w:val="0"/>
        <w:adjustRightInd w:val="0"/>
        <w:jc w:val="both"/>
        <w:rPr>
          <w:b/>
          <w:bCs/>
          <w:kern w:val="2"/>
        </w:rPr>
      </w:pPr>
    </w:p>
    <w:p w:rsidR="00C230FE" w:rsidRPr="00664FE2" w:rsidRDefault="00C230FE" w:rsidP="00EA2FE6">
      <w:pPr>
        <w:numPr>
          <w:ilvl w:val="0"/>
          <w:numId w:val="20"/>
        </w:numPr>
        <w:autoSpaceDE w:val="0"/>
        <w:autoSpaceDN w:val="0"/>
        <w:adjustRightInd w:val="0"/>
        <w:jc w:val="both"/>
        <w:rPr>
          <w:kern w:val="2"/>
        </w:rPr>
      </w:pPr>
      <w:r w:rsidRPr="00664FE2">
        <w:rPr>
          <w:kern w:val="2"/>
        </w:rPr>
        <w:t xml:space="preserve">The electronic </w:t>
      </w:r>
      <w:r w:rsidR="008560B1" w:rsidRPr="00664FE2">
        <w:rPr>
          <w:kern w:val="2"/>
        </w:rPr>
        <w:t>Activity Report</w:t>
      </w:r>
      <w:r w:rsidRPr="00664FE2">
        <w:rPr>
          <w:kern w:val="2"/>
        </w:rPr>
        <w:t>, a</w:t>
      </w:r>
      <w:r w:rsidR="008560B1" w:rsidRPr="00664FE2">
        <w:rPr>
          <w:kern w:val="2"/>
        </w:rPr>
        <w:t>pproved</w:t>
      </w:r>
      <w:r w:rsidRPr="00664FE2">
        <w:rPr>
          <w:kern w:val="2"/>
        </w:rPr>
        <w:t xml:space="preserve"> by the supervisor and posted to payroll, will serve as the </w:t>
      </w:r>
      <w:r w:rsidR="00554380" w:rsidRPr="00664FE2">
        <w:rPr>
          <w:kern w:val="2"/>
        </w:rPr>
        <w:t>documentation</w:t>
      </w:r>
      <w:r w:rsidR="008560B1" w:rsidRPr="00664FE2">
        <w:rPr>
          <w:kern w:val="2"/>
        </w:rPr>
        <w:t xml:space="preserve"> required under </w:t>
      </w:r>
      <w:r w:rsidR="00554380" w:rsidRPr="00664FE2">
        <w:rPr>
          <w:kern w:val="2"/>
        </w:rPr>
        <w:t>45 C.F.R. § 75.430</w:t>
      </w:r>
      <w:r w:rsidRPr="00664FE2">
        <w:rPr>
          <w:kern w:val="2"/>
        </w:rPr>
        <w:t xml:space="preserve">. </w:t>
      </w:r>
    </w:p>
    <w:p w:rsidR="00C973CB" w:rsidRPr="00664FE2" w:rsidRDefault="00554380" w:rsidP="00EA2FE6">
      <w:pPr>
        <w:numPr>
          <w:ilvl w:val="0"/>
          <w:numId w:val="20"/>
        </w:numPr>
        <w:autoSpaceDE w:val="0"/>
        <w:autoSpaceDN w:val="0"/>
        <w:adjustRightInd w:val="0"/>
        <w:jc w:val="both"/>
        <w:rPr>
          <w:kern w:val="2"/>
        </w:rPr>
      </w:pPr>
      <w:r w:rsidRPr="00664FE2">
        <w:rPr>
          <w:kern w:val="2"/>
        </w:rPr>
        <w:t>Health Center</w:t>
      </w:r>
      <w:r w:rsidR="008560B1" w:rsidRPr="00664FE2">
        <w:rPr>
          <w:kern w:val="2"/>
        </w:rPr>
        <w:t xml:space="preserve"> may impose disciplinary action up to and including termination of employment for employees who</w:t>
      </w:r>
      <w:r w:rsidR="00C230FE" w:rsidRPr="00664FE2">
        <w:rPr>
          <w:kern w:val="2"/>
        </w:rPr>
        <w:t xml:space="preserve"> consistent</w:t>
      </w:r>
      <w:r w:rsidR="008560B1" w:rsidRPr="00664FE2">
        <w:rPr>
          <w:kern w:val="2"/>
        </w:rPr>
        <w:t>ly</w:t>
      </w:r>
      <w:r w:rsidR="00C230FE" w:rsidRPr="00664FE2">
        <w:rPr>
          <w:kern w:val="2"/>
        </w:rPr>
        <w:t xml:space="preserve"> f</w:t>
      </w:r>
      <w:r w:rsidR="008560B1" w:rsidRPr="00664FE2">
        <w:rPr>
          <w:kern w:val="2"/>
        </w:rPr>
        <w:t>ail</w:t>
      </w:r>
      <w:r w:rsidR="00C230FE" w:rsidRPr="00664FE2">
        <w:rPr>
          <w:kern w:val="2"/>
        </w:rPr>
        <w:t xml:space="preserve"> to complete </w:t>
      </w:r>
      <w:r w:rsidR="008560B1" w:rsidRPr="00664FE2">
        <w:rPr>
          <w:kern w:val="2"/>
        </w:rPr>
        <w:t xml:space="preserve">their Activity </w:t>
      </w:r>
      <w:r w:rsidR="00C230FE" w:rsidRPr="00664FE2">
        <w:rPr>
          <w:kern w:val="2"/>
        </w:rPr>
        <w:t>Reports</w:t>
      </w:r>
      <w:r w:rsidR="00C973CB" w:rsidRPr="00664FE2">
        <w:rPr>
          <w:kern w:val="2"/>
        </w:rPr>
        <w:t>.</w:t>
      </w:r>
    </w:p>
    <w:p w:rsidR="00006361" w:rsidRPr="00664FE2" w:rsidRDefault="00006361" w:rsidP="001E335E">
      <w:pPr>
        <w:jc w:val="both"/>
        <w:rPr>
          <w:b/>
          <w:kern w:val="2"/>
        </w:rPr>
      </w:pPr>
    </w:p>
    <w:p w:rsidR="00DA4B71" w:rsidRPr="00664FE2" w:rsidRDefault="00DA4B71" w:rsidP="001E335E">
      <w:pPr>
        <w:jc w:val="both"/>
        <w:rPr>
          <w:b/>
          <w:kern w:val="2"/>
        </w:rPr>
      </w:pPr>
      <w:r w:rsidRPr="00664FE2">
        <w:rPr>
          <w:b/>
          <w:kern w:val="2"/>
        </w:rPr>
        <w:t>This policy and procedure shall be periodically reviewed and updated consistent with the requirements and standards established by the Board of Directors and health center management, federal and state laws and regulations, and applicable accrediting and review organizations.</w:t>
      </w:r>
    </w:p>
    <w:p w:rsidR="00DA4B71" w:rsidRPr="00664FE2" w:rsidRDefault="00DA4B71" w:rsidP="001E335E">
      <w:pPr>
        <w:jc w:val="both"/>
        <w:rPr>
          <w:kern w:val="2"/>
        </w:rPr>
      </w:pPr>
    </w:p>
    <w:p w:rsidR="00DA4B71" w:rsidRPr="00664FE2" w:rsidRDefault="00DA4B71" w:rsidP="001E335E">
      <w:pPr>
        <w:jc w:val="both"/>
        <w:rPr>
          <w:b/>
          <w:kern w:val="2"/>
        </w:rPr>
      </w:pPr>
      <w:r w:rsidRPr="00664FE2">
        <w:rPr>
          <w:b/>
          <w:kern w:val="2"/>
        </w:rPr>
        <w:t>Responsible parties:</w:t>
      </w:r>
    </w:p>
    <w:p w:rsidR="00DA4B71" w:rsidRPr="00664FE2" w:rsidRDefault="00DA4B71" w:rsidP="001E335E">
      <w:pPr>
        <w:jc w:val="both"/>
        <w:rPr>
          <w:b/>
          <w:kern w:val="2"/>
        </w:rPr>
      </w:pPr>
    </w:p>
    <w:p w:rsidR="00EA2FE6" w:rsidRPr="00664FE2" w:rsidRDefault="00EA2FE6" w:rsidP="001E335E">
      <w:pPr>
        <w:jc w:val="both"/>
        <w:rPr>
          <w:b/>
          <w:kern w:val="2"/>
        </w:rPr>
      </w:pPr>
    </w:p>
    <w:p w:rsidR="00DA4B71" w:rsidRPr="00664FE2" w:rsidRDefault="00DA4B71" w:rsidP="001E335E">
      <w:pPr>
        <w:pStyle w:val="Heading3"/>
        <w:spacing w:before="0"/>
        <w:jc w:val="both"/>
        <w:rPr>
          <w:rFonts w:cs="Times New Roman"/>
          <w:b w:val="0"/>
          <w:kern w:val="2"/>
          <w:szCs w:val="24"/>
          <w:u w:val="single"/>
        </w:rPr>
      </w:pPr>
      <w:r w:rsidRPr="00664FE2">
        <w:rPr>
          <w:rFonts w:ascii="Times New Roman" w:hAnsi="Times New Roman" w:cs="Times New Roman"/>
          <w:b w:val="0"/>
          <w:color w:val="auto"/>
          <w:kern w:val="2"/>
          <w:szCs w:val="24"/>
          <w:u w:val="single"/>
        </w:rPr>
        <w:t>Signature</w:t>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t>Date</w:t>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r w:rsidRPr="00664FE2">
        <w:rPr>
          <w:rFonts w:ascii="Times New Roman" w:hAnsi="Times New Roman" w:cs="Times New Roman"/>
          <w:b w:val="0"/>
          <w:color w:val="auto"/>
          <w:kern w:val="2"/>
          <w:szCs w:val="24"/>
          <w:u w:val="single"/>
        </w:rPr>
        <w:tab/>
      </w:r>
    </w:p>
    <w:p w:rsidR="00DA4B71" w:rsidRPr="00664FE2" w:rsidRDefault="00DA4B71" w:rsidP="001E335E">
      <w:pPr>
        <w:pStyle w:val="Heading3"/>
        <w:spacing w:before="0"/>
        <w:jc w:val="both"/>
        <w:rPr>
          <w:kern w:val="2"/>
          <w:szCs w:val="24"/>
        </w:rPr>
      </w:pPr>
      <w:r w:rsidRPr="00664FE2">
        <w:rPr>
          <w:rFonts w:ascii="Times New Roman" w:hAnsi="Times New Roman"/>
          <w:b w:val="0"/>
          <w:color w:val="auto"/>
          <w:kern w:val="2"/>
          <w:szCs w:val="24"/>
        </w:rPr>
        <w:t>Executive Director</w:t>
      </w:r>
    </w:p>
    <w:p w:rsidR="00DA4B71" w:rsidRPr="00664FE2" w:rsidRDefault="00DA4B71" w:rsidP="001E335E">
      <w:pPr>
        <w:jc w:val="both"/>
        <w:rPr>
          <w:kern w:val="2"/>
        </w:rPr>
      </w:pPr>
    </w:p>
    <w:p w:rsidR="00EA2FE6" w:rsidRPr="00664FE2" w:rsidRDefault="00EA2FE6" w:rsidP="001E335E">
      <w:pPr>
        <w:jc w:val="both"/>
        <w:rPr>
          <w:kern w:val="2"/>
        </w:rPr>
      </w:pPr>
    </w:p>
    <w:p w:rsidR="00DA4B71" w:rsidRPr="00664FE2" w:rsidRDefault="00DA4B71" w:rsidP="001E335E">
      <w:pPr>
        <w:pStyle w:val="3"/>
        <w:rPr>
          <w:bCs/>
          <w:spacing w:val="-3"/>
          <w:kern w:val="2"/>
          <w:szCs w:val="24"/>
        </w:rPr>
      </w:pPr>
      <w:r w:rsidRPr="00664FE2">
        <w:rPr>
          <w:kern w:val="2"/>
          <w:szCs w:val="24"/>
          <w:u w:val="single"/>
        </w:rPr>
        <w:t>Signature</w:t>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t>Date</w:t>
      </w:r>
      <w:r w:rsidRPr="00664FE2">
        <w:rPr>
          <w:kern w:val="2"/>
          <w:szCs w:val="24"/>
          <w:u w:val="single"/>
        </w:rPr>
        <w:tab/>
      </w:r>
      <w:r w:rsidRPr="00664FE2">
        <w:rPr>
          <w:kern w:val="2"/>
          <w:szCs w:val="24"/>
          <w:u w:val="single"/>
        </w:rPr>
        <w:tab/>
      </w:r>
      <w:r w:rsidRPr="00664FE2">
        <w:rPr>
          <w:kern w:val="2"/>
          <w:szCs w:val="24"/>
          <w:u w:val="single"/>
        </w:rPr>
        <w:tab/>
      </w:r>
      <w:r w:rsidRPr="00664FE2">
        <w:rPr>
          <w:kern w:val="2"/>
          <w:szCs w:val="24"/>
          <w:u w:val="single"/>
        </w:rPr>
        <w:tab/>
      </w:r>
    </w:p>
    <w:p w:rsidR="00006361" w:rsidRPr="00664FE2" w:rsidRDefault="00006361" w:rsidP="001E335E">
      <w:pPr>
        <w:jc w:val="both"/>
        <w:rPr>
          <w:bCs/>
          <w:spacing w:val="-3"/>
          <w:kern w:val="2"/>
        </w:rPr>
      </w:pPr>
    </w:p>
    <w:sectPr w:rsidR="00006361" w:rsidRPr="00664FE2" w:rsidSect="001E335E">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5D" w:rsidRDefault="008D475D">
      <w:r>
        <w:separator/>
      </w:r>
    </w:p>
  </w:endnote>
  <w:endnote w:type="continuationSeparator" w:id="0">
    <w:p w:rsidR="008D475D" w:rsidRDefault="008D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6E" w:rsidRPr="006B59DD" w:rsidRDefault="0041516E" w:rsidP="0041516E">
    <w:pPr>
      <w:pBdr>
        <w:bottom w:val="single" w:sz="12" w:space="0" w:color="auto"/>
      </w:pBdr>
      <w:rPr>
        <w:rFonts w:eastAsia="Calibri"/>
        <w:bCs/>
        <w:sz w:val="20"/>
        <w:szCs w:val="20"/>
      </w:rPr>
    </w:pPr>
  </w:p>
  <w:p w:rsidR="0041516E" w:rsidRPr="006B59DD" w:rsidRDefault="0041516E" w:rsidP="0041516E">
    <w:pPr>
      <w:tabs>
        <w:tab w:val="left" w:pos="2340"/>
      </w:tabs>
      <w:jc w:val="center"/>
      <w:rPr>
        <w:rFonts w:eastAsia="Calibri"/>
        <w:bCs/>
        <w:sz w:val="20"/>
        <w:szCs w:val="20"/>
      </w:rPr>
    </w:pPr>
  </w:p>
  <w:p w:rsidR="0041516E" w:rsidRPr="006B59DD" w:rsidRDefault="0041516E" w:rsidP="0041516E">
    <w:pPr>
      <w:tabs>
        <w:tab w:val="left" w:pos="2340"/>
      </w:tabs>
      <w:jc w:val="center"/>
      <w:rPr>
        <w:rFonts w:eastAsia="Calibri"/>
        <w:bCs/>
        <w:sz w:val="20"/>
        <w:szCs w:val="20"/>
      </w:rPr>
    </w:pPr>
    <w:r w:rsidRPr="006B59DD">
      <w:rPr>
        <w:rFonts w:eastAsia="Calibri"/>
        <w:sz w:val="20"/>
        <w:szCs w:val="20"/>
      </w:rPr>
      <w:t xml:space="preserve">The </w:t>
    </w:r>
    <w:r w:rsidR="004D4BF0">
      <w:rPr>
        <w:rFonts w:eastAsia="Calibri"/>
        <w:sz w:val="20"/>
        <w:szCs w:val="20"/>
      </w:rPr>
      <w:t xml:space="preserve">Corporate </w:t>
    </w:r>
    <w:r w:rsidRPr="006B59DD">
      <w:rPr>
        <w:rFonts w:eastAsia="Calibri"/>
        <w:sz w:val="20"/>
        <w:szCs w:val="20"/>
      </w:rPr>
      <w:t>Compliance Toolkit</w:t>
    </w:r>
    <w:r w:rsidR="004D4BF0">
      <w:rPr>
        <w:rFonts w:eastAsia="Calibri"/>
        <w:sz w:val="20"/>
        <w:szCs w:val="20"/>
      </w:rPr>
      <w:t xml:space="preserve"> for Health Centers</w:t>
    </w:r>
  </w:p>
  <w:p w:rsidR="0041516E" w:rsidRPr="006B59DD" w:rsidRDefault="0041516E" w:rsidP="0041516E">
    <w:pPr>
      <w:tabs>
        <w:tab w:val="left" w:pos="2340"/>
      </w:tabs>
      <w:jc w:val="center"/>
      <w:rPr>
        <w:rFonts w:eastAsia="Calibri"/>
        <w:bCs/>
        <w:sz w:val="20"/>
        <w:szCs w:val="20"/>
        <w:lang w:val="de-DE"/>
      </w:rPr>
    </w:pPr>
    <w:r w:rsidRPr="006B59DD">
      <w:rPr>
        <w:rFonts w:eastAsia="Calibri"/>
        <w:sz w:val="20"/>
        <w:szCs w:val="20"/>
        <w:lang w:val="de-DE"/>
      </w:rPr>
      <w:t>© 201</w:t>
    </w:r>
    <w:r w:rsidR="004D4BF0">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41516E" w:rsidRPr="006B59DD" w:rsidRDefault="0041516E" w:rsidP="0041516E">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41516E" w:rsidRPr="006B59DD" w:rsidRDefault="0041516E" w:rsidP="0041516E">
    <w:pPr>
      <w:tabs>
        <w:tab w:val="left" w:pos="2340"/>
      </w:tabs>
      <w:jc w:val="center"/>
      <w:rPr>
        <w:rFonts w:eastAsia="Calibri"/>
        <w:bCs/>
        <w:sz w:val="20"/>
        <w:szCs w:val="20"/>
      </w:rPr>
    </w:pPr>
  </w:p>
  <w:p w:rsidR="0041516E" w:rsidRPr="00B21A58" w:rsidRDefault="0041516E" w:rsidP="00B21A58">
    <w:pPr>
      <w:tabs>
        <w:tab w:val="left" w:pos="2340"/>
      </w:tabs>
      <w:jc w:val="center"/>
      <w:rPr>
        <w:rFonts w:eastAsia="Calibri"/>
        <w:sz w:val="20"/>
        <w:szCs w:val="20"/>
        <w:lang w:val="de-DE"/>
      </w:rPr>
    </w:pPr>
    <w:r w:rsidRPr="006B59DD">
      <w:rPr>
        <w:rFonts w:eastAsia="Calibri"/>
        <w:bCs/>
        <w:sz w:val="20"/>
        <w:szCs w:val="20"/>
      </w:rPr>
      <w:fldChar w:fldCharType="begin"/>
    </w:r>
    <w:r w:rsidRPr="006B59DD">
      <w:rPr>
        <w:rFonts w:eastAsia="Calibri"/>
        <w:sz w:val="20"/>
        <w:szCs w:val="20"/>
      </w:rPr>
      <w:instrText xml:space="preserve"> PAGE </w:instrText>
    </w:r>
    <w:r w:rsidRPr="006B59DD">
      <w:rPr>
        <w:rFonts w:eastAsia="Calibri"/>
        <w:bCs/>
        <w:sz w:val="20"/>
        <w:szCs w:val="20"/>
      </w:rPr>
      <w:fldChar w:fldCharType="separate"/>
    </w:r>
    <w:r w:rsidR="00B070EB">
      <w:rPr>
        <w:rFonts w:eastAsia="Calibri"/>
        <w:noProof/>
        <w:sz w:val="20"/>
        <w:szCs w:val="20"/>
      </w:rPr>
      <w:t>2</w:t>
    </w:r>
    <w:r w:rsidRPr="006B59DD">
      <w:rPr>
        <w:rFonts w:eastAsia="Calibr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5D" w:rsidRDefault="008D475D">
      <w:r>
        <w:separator/>
      </w:r>
    </w:p>
  </w:footnote>
  <w:footnote w:type="continuationSeparator" w:id="0">
    <w:p w:rsidR="008D475D" w:rsidRDefault="008D475D">
      <w:r>
        <w:continuationSeparator/>
      </w:r>
    </w:p>
  </w:footnote>
  <w:footnote w:id="1">
    <w:p w:rsidR="0041516E" w:rsidRDefault="0041516E" w:rsidP="007A214E">
      <w:pPr>
        <w:pStyle w:val="FootnoteText"/>
        <w:ind w:left="360" w:hanging="360"/>
      </w:pPr>
      <w:r>
        <w:rPr>
          <w:rStyle w:val="FootnoteReference"/>
        </w:rPr>
        <w:footnoteRef/>
      </w:r>
      <w:r>
        <w:t xml:space="preserve"> </w:t>
      </w:r>
      <w:r w:rsidR="007A214E">
        <w:tab/>
      </w:r>
      <w:r w:rsidRPr="00B25D25">
        <w:t>The Authors of these materials include attorneys at the law firm of Feldesman Tucker Leifer Fidell LLP. The sample documents o</w:t>
      </w:r>
      <w:r w:rsidR="009025C5">
        <w:t>ffer general guidance based on f</w:t>
      </w:r>
      <w:r w:rsidR="00B21A58">
        <w:t>ederal law and regulations</w:t>
      </w:r>
      <w:r w:rsidRPr="00B25D25">
        <w:t xml:space="preserve"> and do not necess</w:t>
      </w:r>
      <w:r>
        <w:t xml:space="preserve">arily apply to all </w:t>
      </w:r>
      <w:r w:rsidR="004D4BF0">
        <w:t>health center</w:t>
      </w:r>
      <w:r w:rsidRPr="00B25D25">
        <w:t>s under all facts and circumstances. Further, these materials do not replace, and are not a substitute for, legal advice from qualified legal counsel.</w:t>
      </w:r>
    </w:p>
  </w:footnote>
  <w:footnote w:id="2">
    <w:p w:rsidR="0041516E" w:rsidRDefault="0041516E" w:rsidP="007A214E">
      <w:pPr>
        <w:pStyle w:val="FootnoteText"/>
        <w:ind w:left="360" w:hanging="360"/>
      </w:pPr>
      <w:r>
        <w:rPr>
          <w:rStyle w:val="FootnoteReference"/>
        </w:rPr>
        <w:footnoteRef/>
      </w:r>
      <w:r>
        <w:t xml:space="preserve"> </w:t>
      </w:r>
      <w:r w:rsidR="007A214E">
        <w:tab/>
      </w:r>
      <w:r w:rsidR="009025C5">
        <w:t>Authors’ note:</w:t>
      </w:r>
      <w:r w:rsidRPr="005D366F">
        <w:t xml:space="preserve"> Using the following </w:t>
      </w:r>
      <w:r>
        <w:t>sample as a guide,</w:t>
      </w:r>
      <w:r w:rsidR="004D4BF0">
        <w:t xml:space="preserve"> health center</w:t>
      </w:r>
      <w:r w:rsidRPr="005D366F">
        <w:t>s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6E" w:rsidRDefault="0041516E" w:rsidP="0041516E">
    <w:pPr>
      <w:jc w:val="center"/>
      <w:rPr>
        <w:sz w:val="20"/>
      </w:rPr>
    </w:pPr>
    <w:r>
      <w:rPr>
        <w:sz w:val="20"/>
      </w:rPr>
      <w:t xml:space="preserve">Volume II: </w:t>
    </w:r>
    <w:r w:rsidR="001E335E">
      <w:rPr>
        <w:sz w:val="20"/>
      </w:rPr>
      <w:t xml:space="preserve"> </w:t>
    </w:r>
    <w:r w:rsidR="0075053E">
      <w:rPr>
        <w:sz w:val="20"/>
      </w:rPr>
      <w:t>Health Center</w:t>
    </w:r>
    <w:r>
      <w:rPr>
        <w:sz w:val="20"/>
      </w:rPr>
      <w:t xml:space="preserve"> Risk Areas</w:t>
    </w:r>
  </w:p>
  <w:p w:rsidR="0041516E" w:rsidRDefault="0041516E" w:rsidP="0041516E">
    <w:pPr>
      <w:pBdr>
        <w:bottom w:val="single" w:sz="12" w:space="0" w:color="auto"/>
      </w:pBdr>
      <w:jc w:val="center"/>
      <w:rPr>
        <w:sz w:val="20"/>
      </w:rPr>
    </w:pPr>
    <w:r>
      <w:rPr>
        <w:sz w:val="20"/>
      </w:rPr>
      <w:t>Federal Grants Management</w:t>
    </w:r>
  </w:p>
  <w:p w:rsidR="0041516E" w:rsidRPr="00F354EE" w:rsidRDefault="0041516E" w:rsidP="0041516E">
    <w:pPr>
      <w:pBdr>
        <w:bottom w:val="single" w:sz="12" w:space="0" w:color="auto"/>
      </w:pBdr>
      <w:jc w:val="center"/>
      <w:rPr>
        <w:sz w:val="20"/>
      </w:rPr>
    </w:pPr>
  </w:p>
  <w:p w:rsidR="004B0EF2" w:rsidRDefault="004B0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B45"/>
    <w:multiLevelType w:val="hybridMultilevel"/>
    <w:tmpl w:val="793C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7C18"/>
    <w:multiLevelType w:val="multilevel"/>
    <w:tmpl w:val="BDD8C0A6"/>
    <w:lvl w:ilvl="0">
      <w:start w:val="1"/>
      <w:numFmt w:val="bullet"/>
      <w:lvlText w:val=""/>
      <w:lvlJc w:val="left"/>
      <w:pPr>
        <w:tabs>
          <w:tab w:val="num" w:pos="1440"/>
        </w:tabs>
        <w:ind w:left="144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E2C4D"/>
    <w:multiLevelType w:val="hybridMultilevel"/>
    <w:tmpl w:val="90AC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92772"/>
    <w:multiLevelType w:val="hybridMultilevel"/>
    <w:tmpl w:val="083A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33EEB"/>
    <w:multiLevelType w:val="hybridMultilevel"/>
    <w:tmpl w:val="E3BAFAAC"/>
    <w:lvl w:ilvl="0" w:tplc="16424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B5A6B"/>
    <w:multiLevelType w:val="hybridMultilevel"/>
    <w:tmpl w:val="E6A4B3B0"/>
    <w:lvl w:ilvl="0" w:tplc="B4582F6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660EFC"/>
    <w:multiLevelType w:val="hybridMultilevel"/>
    <w:tmpl w:val="3006A1C8"/>
    <w:lvl w:ilvl="0" w:tplc="B4582F6E">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3505C6"/>
    <w:multiLevelType w:val="hybridMultilevel"/>
    <w:tmpl w:val="7D9A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B4D08"/>
    <w:multiLevelType w:val="hybridMultilevel"/>
    <w:tmpl w:val="E222C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C459F"/>
    <w:multiLevelType w:val="hybridMultilevel"/>
    <w:tmpl w:val="37D40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DA262C5"/>
    <w:multiLevelType w:val="hybridMultilevel"/>
    <w:tmpl w:val="2244F4C8"/>
    <w:lvl w:ilvl="0" w:tplc="798A01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6643"/>
    <w:multiLevelType w:val="hybridMultilevel"/>
    <w:tmpl w:val="BDD8C0A6"/>
    <w:lvl w:ilvl="0" w:tplc="94088102">
      <w:start w:val="1"/>
      <w:numFmt w:val="bullet"/>
      <w:lvlText w:val=""/>
      <w:lvlJc w:val="left"/>
      <w:pPr>
        <w:tabs>
          <w:tab w:val="num" w:pos="1440"/>
        </w:tabs>
        <w:ind w:left="144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B75D0"/>
    <w:multiLevelType w:val="hybridMultilevel"/>
    <w:tmpl w:val="FD46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379D"/>
    <w:multiLevelType w:val="hybridMultilevel"/>
    <w:tmpl w:val="922C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8738C"/>
    <w:multiLevelType w:val="hybridMultilevel"/>
    <w:tmpl w:val="218C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42B4E"/>
    <w:multiLevelType w:val="hybridMultilevel"/>
    <w:tmpl w:val="3AE6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C333E"/>
    <w:multiLevelType w:val="hybridMultilevel"/>
    <w:tmpl w:val="03AC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9743F"/>
    <w:multiLevelType w:val="hybridMultilevel"/>
    <w:tmpl w:val="15081BC2"/>
    <w:lvl w:ilvl="0" w:tplc="B4582F6E">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CDB3E28"/>
    <w:multiLevelType w:val="hybridMultilevel"/>
    <w:tmpl w:val="9BF4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
  </w:num>
  <w:num w:numId="5">
    <w:abstractNumId w:val="18"/>
  </w:num>
  <w:num w:numId="6">
    <w:abstractNumId w:val="6"/>
  </w:num>
  <w:num w:numId="7">
    <w:abstractNumId w:val="7"/>
  </w:num>
  <w:num w:numId="8">
    <w:abstractNumId w:val="9"/>
  </w:num>
  <w:num w:numId="9">
    <w:abstractNumId w:val="8"/>
  </w:num>
  <w:num w:numId="10">
    <w:abstractNumId w:val="17"/>
  </w:num>
  <w:num w:numId="11">
    <w:abstractNumId w:val="14"/>
  </w:num>
  <w:num w:numId="12">
    <w:abstractNumId w:val="16"/>
  </w:num>
  <w:num w:numId="13">
    <w:abstractNumId w:val="2"/>
  </w:num>
  <w:num w:numId="14">
    <w:abstractNumId w:val="0"/>
  </w:num>
  <w:num w:numId="15">
    <w:abstractNumId w:val="13"/>
  </w:num>
  <w:num w:numId="16">
    <w:abstractNumId w:val="15"/>
  </w:num>
  <w:num w:numId="17">
    <w:abstractNumId w:val="3"/>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3FE6"/>
    <w:rsid w:val="00006361"/>
    <w:rsid w:val="00023FE6"/>
    <w:rsid w:val="000275B9"/>
    <w:rsid w:val="00044BB7"/>
    <w:rsid w:val="000B4F17"/>
    <w:rsid w:val="000D6D53"/>
    <w:rsid w:val="00121649"/>
    <w:rsid w:val="00192F82"/>
    <w:rsid w:val="001D5DCB"/>
    <w:rsid w:val="001E335E"/>
    <w:rsid w:val="0026750D"/>
    <w:rsid w:val="00267ABC"/>
    <w:rsid w:val="002C3AAF"/>
    <w:rsid w:val="00340CA3"/>
    <w:rsid w:val="00373F85"/>
    <w:rsid w:val="003A0065"/>
    <w:rsid w:val="003B4345"/>
    <w:rsid w:val="003C487B"/>
    <w:rsid w:val="003D4AF0"/>
    <w:rsid w:val="0041516E"/>
    <w:rsid w:val="004217D0"/>
    <w:rsid w:val="00442DA7"/>
    <w:rsid w:val="004563DA"/>
    <w:rsid w:val="004B0EF2"/>
    <w:rsid w:val="004C3AB9"/>
    <w:rsid w:val="004D4BF0"/>
    <w:rsid w:val="005051A3"/>
    <w:rsid w:val="00520422"/>
    <w:rsid w:val="00537C00"/>
    <w:rsid w:val="00554380"/>
    <w:rsid w:val="005A2343"/>
    <w:rsid w:val="005D4FB3"/>
    <w:rsid w:val="00613FBA"/>
    <w:rsid w:val="00617BE5"/>
    <w:rsid w:val="00635668"/>
    <w:rsid w:val="00656D1A"/>
    <w:rsid w:val="00664FE2"/>
    <w:rsid w:val="006E4CB8"/>
    <w:rsid w:val="00702A29"/>
    <w:rsid w:val="00705AB2"/>
    <w:rsid w:val="0075053E"/>
    <w:rsid w:val="007A214E"/>
    <w:rsid w:val="007B79E6"/>
    <w:rsid w:val="007E4C6D"/>
    <w:rsid w:val="007E57B7"/>
    <w:rsid w:val="0080142C"/>
    <w:rsid w:val="00854C57"/>
    <w:rsid w:val="008560B1"/>
    <w:rsid w:val="008666E2"/>
    <w:rsid w:val="00875AEC"/>
    <w:rsid w:val="008D475D"/>
    <w:rsid w:val="009025C5"/>
    <w:rsid w:val="00945660"/>
    <w:rsid w:val="00972FEC"/>
    <w:rsid w:val="0097437D"/>
    <w:rsid w:val="009C2B0D"/>
    <w:rsid w:val="009D330E"/>
    <w:rsid w:val="00A017BD"/>
    <w:rsid w:val="00A02EF3"/>
    <w:rsid w:val="00A03B58"/>
    <w:rsid w:val="00A152FF"/>
    <w:rsid w:val="00A15599"/>
    <w:rsid w:val="00A54388"/>
    <w:rsid w:val="00AA264F"/>
    <w:rsid w:val="00AA461D"/>
    <w:rsid w:val="00AA5501"/>
    <w:rsid w:val="00AC3DA7"/>
    <w:rsid w:val="00AC60E0"/>
    <w:rsid w:val="00B070EB"/>
    <w:rsid w:val="00B11959"/>
    <w:rsid w:val="00B21A58"/>
    <w:rsid w:val="00B8128A"/>
    <w:rsid w:val="00B84B13"/>
    <w:rsid w:val="00BC55A3"/>
    <w:rsid w:val="00BE4399"/>
    <w:rsid w:val="00C20C91"/>
    <w:rsid w:val="00C21975"/>
    <w:rsid w:val="00C230FE"/>
    <w:rsid w:val="00C5161A"/>
    <w:rsid w:val="00C67440"/>
    <w:rsid w:val="00C87374"/>
    <w:rsid w:val="00C90374"/>
    <w:rsid w:val="00C973CB"/>
    <w:rsid w:val="00CA2E23"/>
    <w:rsid w:val="00CA2E91"/>
    <w:rsid w:val="00CD04D4"/>
    <w:rsid w:val="00D03437"/>
    <w:rsid w:val="00D724BE"/>
    <w:rsid w:val="00D73C76"/>
    <w:rsid w:val="00D762B4"/>
    <w:rsid w:val="00DA4B71"/>
    <w:rsid w:val="00DB567A"/>
    <w:rsid w:val="00DC2603"/>
    <w:rsid w:val="00E06F55"/>
    <w:rsid w:val="00E17ECA"/>
    <w:rsid w:val="00E42F79"/>
    <w:rsid w:val="00E60937"/>
    <w:rsid w:val="00E97D67"/>
    <w:rsid w:val="00EA1DF8"/>
    <w:rsid w:val="00EA2FE6"/>
    <w:rsid w:val="00EB4A28"/>
    <w:rsid w:val="00EB74EE"/>
    <w:rsid w:val="00EE6224"/>
    <w:rsid w:val="00F31D26"/>
    <w:rsid w:val="00F94704"/>
    <w:rsid w:val="00FA7593"/>
    <w:rsid w:val="00FC611F"/>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65"/>
    <w:rPr>
      <w:sz w:val="24"/>
      <w:szCs w:val="24"/>
    </w:rPr>
  </w:style>
  <w:style w:type="paragraph" w:styleId="Heading3">
    <w:name w:val="heading 3"/>
    <w:basedOn w:val="Normal"/>
    <w:next w:val="Normal"/>
    <w:link w:val="Heading3Char"/>
    <w:uiPriority w:val="9"/>
    <w:unhideWhenUsed/>
    <w:qFormat/>
    <w:rsid w:val="00006361"/>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41516E"/>
    <w:pPr>
      <w:keepNext/>
      <w:spacing w:before="240" w:after="60"/>
      <w:outlineLvl w:val="3"/>
    </w:pPr>
    <w:rPr>
      <w:rFonts w:ascii="Calibri" w:hAnsi="Calibri"/>
      <w:b/>
      <w:bCs/>
      <w:sz w:val="28"/>
      <w:szCs w:val="28"/>
    </w:rPr>
  </w:style>
  <w:style w:type="paragraph" w:styleId="Heading7">
    <w:name w:val="heading 7"/>
    <w:basedOn w:val="Normal"/>
    <w:next w:val="Normal"/>
    <w:qFormat/>
    <w:rsid w:val="00537C00"/>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A29"/>
    <w:pPr>
      <w:tabs>
        <w:tab w:val="center" w:pos="4320"/>
        <w:tab w:val="right" w:pos="8640"/>
      </w:tabs>
    </w:pPr>
  </w:style>
  <w:style w:type="paragraph" w:styleId="Footer">
    <w:name w:val="footer"/>
    <w:basedOn w:val="Normal"/>
    <w:link w:val="FooterChar"/>
    <w:uiPriority w:val="99"/>
    <w:rsid w:val="00702A29"/>
    <w:pPr>
      <w:tabs>
        <w:tab w:val="center" w:pos="4320"/>
        <w:tab w:val="right" w:pos="8640"/>
      </w:tabs>
    </w:pPr>
  </w:style>
  <w:style w:type="paragraph" w:styleId="BalloonText">
    <w:name w:val="Balloon Text"/>
    <w:basedOn w:val="Normal"/>
    <w:link w:val="BalloonTextChar"/>
    <w:uiPriority w:val="99"/>
    <w:semiHidden/>
    <w:unhideWhenUsed/>
    <w:rsid w:val="00B8128A"/>
    <w:rPr>
      <w:rFonts w:ascii="Tahoma" w:hAnsi="Tahoma" w:cs="Tahoma"/>
      <w:sz w:val="16"/>
      <w:szCs w:val="16"/>
    </w:rPr>
  </w:style>
  <w:style w:type="character" w:customStyle="1" w:styleId="BalloonTextChar">
    <w:name w:val="Balloon Text Char"/>
    <w:link w:val="BalloonText"/>
    <w:uiPriority w:val="99"/>
    <w:semiHidden/>
    <w:rsid w:val="00B8128A"/>
    <w:rPr>
      <w:rFonts w:ascii="Tahoma" w:hAnsi="Tahoma" w:cs="Tahoma"/>
      <w:sz w:val="16"/>
      <w:szCs w:val="16"/>
    </w:rPr>
  </w:style>
  <w:style w:type="character" w:customStyle="1" w:styleId="HeaderChar">
    <w:name w:val="Header Char"/>
    <w:link w:val="Header"/>
    <w:uiPriority w:val="99"/>
    <w:rsid w:val="0041516E"/>
    <w:rPr>
      <w:sz w:val="24"/>
      <w:szCs w:val="24"/>
    </w:rPr>
  </w:style>
  <w:style w:type="character" w:customStyle="1" w:styleId="FooterChar">
    <w:name w:val="Footer Char"/>
    <w:link w:val="Footer"/>
    <w:uiPriority w:val="99"/>
    <w:rsid w:val="0041516E"/>
    <w:rPr>
      <w:sz w:val="24"/>
      <w:szCs w:val="24"/>
    </w:rPr>
  </w:style>
  <w:style w:type="character" w:customStyle="1" w:styleId="Heading4Char">
    <w:name w:val="Heading 4 Char"/>
    <w:link w:val="Heading4"/>
    <w:uiPriority w:val="9"/>
    <w:semiHidden/>
    <w:rsid w:val="0041516E"/>
    <w:rPr>
      <w:rFonts w:ascii="Calibri" w:eastAsia="Times New Roman" w:hAnsi="Calibri" w:cs="Times New Roman"/>
      <w:b/>
      <w:bCs/>
      <w:sz w:val="28"/>
      <w:szCs w:val="28"/>
    </w:rPr>
  </w:style>
  <w:style w:type="paragraph" w:styleId="Title">
    <w:name w:val="Title"/>
    <w:basedOn w:val="Normal"/>
    <w:link w:val="TitleChar"/>
    <w:qFormat/>
    <w:rsid w:val="0041516E"/>
    <w:pPr>
      <w:jc w:val="center"/>
    </w:pPr>
    <w:rPr>
      <w:rFonts w:ascii="Arial" w:hAnsi="Arial"/>
      <w:b/>
      <w:bCs/>
      <w:sz w:val="22"/>
      <w:szCs w:val="20"/>
    </w:rPr>
  </w:style>
  <w:style w:type="character" w:customStyle="1" w:styleId="TitleChar">
    <w:name w:val="Title Char"/>
    <w:link w:val="Title"/>
    <w:rsid w:val="0041516E"/>
    <w:rPr>
      <w:rFonts w:ascii="Arial" w:hAnsi="Arial"/>
      <w:b/>
      <w:bCs/>
      <w:sz w:val="22"/>
    </w:rPr>
  </w:style>
  <w:style w:type="paragraph" w:styleId="FootnoteText">
    <w:name w:val="footnote text"/>
    <w:basedOn w:val="Normal"/>
    <w:link w:val="FootnoteTextChar"/>
    <w:semiHidden/>
    <w:rsid w:val="0041516E"/>
    <w:rPr>
      <w:sz w:val="20"/>
      <w:szCs w:val="20"/>
    </w:rPr>
  </w:style>
  <w:style w:type="character" w:customStyle="1" w:styleId="FootnoteTextChar">
    <w:name w:val="Footnote Text Char"/>
    <w:basedOn w:val="DefaultParagraphFont"/>
    <w:link w:val="FootnoteText"/>
    <w:semiHidden/>
    <w:rsid w:val="0041516E"/>
  </w:style>
  <w:style w:type="character" w:styleId="FootnoteReference">
    <w:name w:val="footnote reference"/>
    <w:semiHidden/>
    <w:rsid w:val="0041516E"/>
    <w:rPr>
      <w:vertAlign w:val="superscript"/>
    </w:rPr>
  </w:style>
  <w:style w:type="character" w:customStyle="1" w:styleId="Heading3Char">
    <w:name w:val="Heading 3 Char"/>
    <w:basedOn w:val="DefaultParagraphFont"/>
    <w:link w:val="Heading3"/>
    <w:uiPriority w:val="9"/>
    <w:rsid w:val="00006361"/>
    <w:rPr>
      <w:rFonts w:asciiTheme="majorHAnsi" w:eastAsiaTheme="majorEastAsia" w:hAnsiTheme="majorHAnsi" w:cstheme="majorBidi"/>
      <w:b/>
      <w:bCs/>
      <w:color w:val="4F81BD" w:themeColor="accent1"/>
      <w:sz w:val="24"/>
      <w:szCs w:val="22"/>
    </w:rPr>
  </w:style>
  <w:style w:type="paragraph" w:customStyle="1" w:styleId="3">
    <w:name w:val="3)"/>
    <w:basedOn w:val="Normal"/>
    <w:rsid w:val="00006361"/>
    <w:pPr>
      <w:jc w:val="both"/>
    </w:pPr>
    <w:rPr>
      <w:szCs w:val="20"/>
    </w:rPr>
  </w:style>
  <w:style w:type="character" w:styleId="Hyperlink">
    <w:name w:val="Hyperlink"/>
    <w:basedOn w:val="DefaultParagraphFont"/>
    <w:uiPriority w:val="99"/>
    <w:unhideWhenUsed/>
    <w:rsid w:val="00656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65"/>
    <w:rPr>
      <w:sz w:val="24"/>
      <w:szCs w:val="24"/>
    </w:rPr>
  </w:style>
  <w:style w:type="paragraph" w:styleId="Heading3">
    <w:name w:val="heading 3"/>
    <w:basedOn w:val="Normal"/>
    <w:next w:val="Normal"/>
    <w:link w:val="Heading3Char"/>
    <w:uiPriority w:val="9"/>
    <w:unhideWhenUsed/>
    <w:qFormat/>
    <w:rsid w:val="00006361"/>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41516E"/>
    <w:pPr>
      <w:keepNext/>
      <w:spacing w:before="240" w:after="60"/>
      <w:outlineLvl w:val="3"/>
    </w:pPr>
    <w:rPr>
      <w:rFonts w:ascii="Calibri" w:hAnsi="Calibri"/>
      <w:b/>
      <w:bCs/>
      <w:sz w:val="28"/>
      <w:szCs w:val="28"/>
    </w:rPr>
  </w:style>
  <w:style w:type="paragraph" w:styleId="Heading7">
    <w:name w:val="heading 7"/>
    <w:basedOn w:val="Normal"/>
    <w:next w:val="Normal"/>
    <w:qFormat/>
    <w:rsid w:val="00537C00"/>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A29"/>
    <w:pPr>
      <w:tabs>
        <w:tab w:val="center" w:pos="4320"/>
        <w:tab w:val="right" w:pos="8640"/>
      </w:tabs>
    </w:pPr>
  </w:style>
  <w:style w:type="paragraph" w:styleId="Footer">
    <w:name w:val="footer"/>
    <w:basedOn w:val="Normal"/>
    <w:link w:val="FooterChar"/>
    <w:uiPriority w:val="99"/>
    <w:rsid w:val="00702A29"/>
    <w:pPr>
      <w:tabs>
        <w:tab w:val="center" w:pos="4320"/>
        <w:tab w:val="right" w:pos="8640"/>
      </w:tabs>
    </w:pPr>
  </w:style>
  <w:style w:type="paragraph" w:styleId="BalloonText">
    <w:name w:val="Balloon Text"/>
    <w:basedOn w:val="Normal"/>
    <w:link w:val="BalloonTextChar"/>
    <w:uiPriority w:val="99"/>
    <w:semiHidden/>
    <w:unhideWhenUsed/>
    <w:rsid w:val="00B8128A"/>
    <w:rPr>
      <w:rFonts w:ascii="Tahoma" w:hAnsi="Tahoma" w:cs="Tahoma"/>
      <w:sz w:val="16"/>
      <w:szCs w:val="16"/>
    </w:rPr>
  </w:style>
  <w:style w:type="character" w:customStyle="1" w:styleId="BalloonTextChar">
    <w:name w:val="Balloon Text Char"/>
    <w:link w:val="BalloonText"/>
    <w:uiPriority w:val="99"/>
    <w:semiHidden/>
    <w:rsid w:val="00B8128A"/>
    <w:rPr>
      <w:rFonts w:ascii="Tahoma" w:hAnsi="Tahoma" w:cs="Tahoma"/>
      <w:sz w:val="16"/>
      <w:szCs w:val="16"/>
    </w:rPr>
  </w:style>
  <w:style w:type="character" w:customStyle="1" w:styleId="HeaderChar">
    <w:name w:val="Header Char"/>
    <w:link w:val="Header"/>
    <w:uiPriority w:val="99"/>
    <w:rsid w:val="0041516E"/>
    <w:rPr>
      <w:sz w:val="24"/>
      <w:szCs w:val="24"/>
    </w:rPr>
  </w:style>
  <w:style w:type="character" w:customStyle="1" w:styleId="FooterChar">
    <w:name w:val="Footer Char"/>
    <w:link w:val="Footer"/>
    <w:uiPriority w:val="99"/>
    <w:rsid w:val="0041516E"/>
    <w:rPr>
      <w:sz w:val="24"/>
      <w:szCs w:val="24"/>
    </w:rPr>
  </w:style>
  <w:style w:type="character" w:customStyle="1" w:styleId="Heading4Char">
    <w:name w:val="Heading 4 Char"/>
    <w:link w:val="Heading4"/>
    <w:uiPriority w:val="9"/>
    <w:semiHidden/>
    <w:rsid w:val="0041516E"/>
    <w:rPr>
      <w:rFonts w:ascii="Calibri" w:eastAsia="Times New Roman" w:hAnsi="Calibri" w:cs="Times New Roman"/>
      <w:b/>
      <w:bCs/>
      <w:sz w:val="28"/>
      <w:szCs w:val="28"/>
    </w:rPr>
  </w:style>
  <w:style w:type="paragraph" w:styleId="Title">
    <w:name w:val="Title"/>
    <w:basedOn w:val="Normal"/>
    <w:link w:val="TitleChar"/>
    <w:qFormat/>
    <w:rsid w:val="0041516E"/>
    <w:pPr>
      <w:jc w:val="center"/>
    </w:pPr>
    <w:rPr>
      <w:rFonts w:ascii="Arial" w:hAnsi="Arial"/>
      <w:b/>
      <w:bCs/>
      <w:sz w:val="22"/>
      <w:szCs w:val="20"/>
    </w:rPr>
  </w:style>
  <w:style w:type="character" w:customStyle="1" w:styleId="TitleChar">
    <w:name w:val="Title Char"/>
    <w:link w:val="Title"/>
    <w:rsid w:val="0041516E"/>
    <w:rPr>
      <w:rFonts w:ascii="Arial" w:hAnsi="Arial"/>
      <w:b/>
      <w:bCs/>
      <w:sz w:val="22"/>
    </w:rPr>
  </w:style>
  <w:style w:type="paragraph" w:styleId="FootnoteText">
    <w:name w:val="footnote text"/>
    <w:basedOn w:val="Normal"/>
    <w:link w:val="FootnoteTextChar"/>
    <w:semiHidden/>
    <w:rsid w:val="0041516E"/>
    <w:rPr>
      <w:sz w:val="20"/>
      <w:szCs w:val="20"/>
    </w:rPr>
  </w:style>
  <w:style w:type="character" w:customStyle="1" w:styleId="FootnoteTextChar">
    <w:name w:val="Footnote Text Char"/>
    <w:basedOn w:val="DefaultParagraphFont"/>
    <w:link w:val="FootnoteText"/>
    <w:semiHidden/>
    <w:rsid w:val="0041516E"/>
  </w:style>
  <w:style w:type="character" w:styleId="FootnoteReference">
    <w:name w:val="footnote reference"/>
    <w:semiHidden/>
    <w:rsid w:val="0041516E"/>
    <w:rPr>
      <w:vertAlign w:val="superscript"/>
    </w:rPr>
  </w:style>
  <w:style w:type="character" w:customStyle="1" w:styleId="Heading3Char">
    <w:name w:val="Heading 3 Char"/>
    <w:basedOn w:val="DefaultParagraphFont"/>
    <w:link w:val="Heading3"/>
    <w:uiPriority w:val="9"/>
    <w:rsid w:val="00006361"/>
    <w:rPr>
      <w:rFonts w:asciiTheme="majorHAnsi" w:eastAsiaTheme="majorEastAsia" w:hAnsiTheme="majorHAnsi" w:cstheme="majorBidi"/>
      <w:b/>
      <w:bCs/>
      <w:color w:val="4F81BD" w:themeColor="accent1"/>
      <w:sz w:val="24"/>
      <w:szCs w:val="22"/>
    </w:rPr>
  </w:style>
  <w:style w:type="paragraph" w:customStyle="1" w:styleId="3">
    <w:name w:val="3)"/>
    <w:basedOn w:val="Normal"/>
    <w:rsid w:val="00006361"/>
    <w:pPr>
      <w:jc w:val="both"/>
    </w:pPr>
    <w:rPr>
      <w:szCs w:val="20"/>
    </w:rPr>
  </w:style>
  <w:style w:type="character" w:styleId="Hyperlink">
    <w:name w:val="Hyperlink"/>
    <w:basedOn w:val="DefaultParagraphFont"/>
    <w:uiPriority w:val="99"/>
    <w:unhideWhenUsed/>
    <w:rsid w:val="00656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15AC-7513-4F4C-8DCF-A1371BFA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3511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Pledgie, Dianne</dc:creator>
  <cp:lastModifiedBy>Pledgie, Dianne</cp:lastModifiedBy>
  <cp:revision>2</cp:revision>
  <cp:lastPrinted>2015-08-14T13:09:00Z</cp:lastPrinted>
  <dcterms:created xsi:type="dcterms:W3CDTF">2016-03-06T12:49:00Z</dcterms:created>
  <dcterms:modified xsi:type="dcterms:W3CDTF">2016-03-06T12:49:00Z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GEAAO+/T9t20xwkJxY9rsSs2DLZtOkcti+WqVb99GvD5V3mcv1z6kY3SzqnnD4hGE85n2wkJas0bk6t5
RWUn4/uwF5cTz2tar4J0yKoPJtJoeufs6BL93ptE1n+WWuzViGb+K3uhKj3RHOm2rkfeFiexjBq7
N+Y8gVRMF/c63zw06cXuoJOPpo5gDHhHubYQPdsFSGwrvaKXd5eJ+a3CxoVzNhv6W0XspYBQho89
lGIfd+GHtfwKdieR3</vt:lpwstr>
  </property>
  <property fmtid="{D5CDD505-2E9C-101B-9397-08002B2CF9AE}" pid="3" name="MAIL_MSG_ID2">
    <vt:lpwstr>KUTWwuAqVxF</vt:lpwstr>
  </property>
  <property fmtid="{D5CDD505-2E9C-101B-9397-08002B2CF9AE}" pid="4" name="RESPONSE_SENDER_NAME">
    <vt:lpwstr>sAAAXRTqSjcrLAptVwsTpXcfzgYszSGokSVw2F/BUqM9DS0=</vt:lpwstr>
  </property>
  <property fmtid="{D5CDD505-2E9C-101B-9397-08002B2CF9AE}" pid="5" name="EMAIL_OWNER_ADDRESS">
    <vt:lpwstr>ABAAMV6B7YzPbaJphXRkz7Wruwvv5iwNxJ44EcQH50e/csWzGmhVY/weDCHKEDuZi7WL</vt:lpwstr>
  </property>
</Properties>
</file>