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265" w:rsidRPr="00A401D4" w:rsidRDefault="00E30961" w:rsidP="00A401D4">
      <w:pPr>
        <w:jc w:val="center"/>
        <w:rPr>
          <w:spacing w:val="0"/>
          <w:kern w:val="2"/>
        </w:rPr>
      </w:pPr>
      <w:r w:rsidRPr="00A401D4">
        <w:rPr>
          <w:b/>
          <w:spacing w:val="0"/>
          <w:kern w:val="2"/>
          <w:sz w:val="32"/>
        </w:rPr>
        <w:t>Terms for Subrecipient Arrange</w:t>
      </w:r>
      <w:r w:rsidR="00460265" w:rsidRPr="00A401D4">
        <w:rPr>
          <w:b/>
          <w:spacing w:val="0"/>
          <w:kern w:val="2"/>
          <w:sz w:val="32"/>
        </w:rPr>
        <w:t>ments</w:t>
      </w:r>
      <w:r w:rsidR="00965BC4" w:rsidRPr="00A401D4">
        <w:rPr>
          <w:b/>
          <w:spacing w:val="0"/>
          <w:kern w:val="2"/>
          <w:sz w:val="32"/>
        </w:rPr>
        <w:t>: Checklist</w:t>
      </w:r>
      <w:r w:rsidR="00460265" w:rsidRPr="00A401D4">
        <w:rPr>
          <w:rStyle w:val="FootnoteReference"/>
          <w:b/>
          <w:spacing w:val="0"/>
          <w:kern w:val="2"/>
        </w:rPr>
        <w:footnoteReference w:id="1"/>
      </w:r>
    </w:p>
    <w:p w:rsidR="00460265" w:rsidRPr="00A401D4" w:rsidRDefault="00460265" w:rsidP="00EB3B15">
      <w:pPr>
        <w:pBdr>
          <w:bottom w:val="single" w:sz="12" w:space="1" w:color="auto"/>
        </w:pBdr>
        <w:autoSpaceDE w:val="0"/>
        <w:autoSpaceDN w:val="0"/>
        <w:adjustRightInd w:val="0"/>
        <w:jc w:val="both"/>
        <w:rPr>
          <w:spacing w:val="0"/>
          <w:kern w:val="2"/>
        </w:rPr>
      </w:pPr>
    </w:p>
    <w:p w:rsidR="00AF156E" w:rsidRPr="00A401D4" w:rsidRDefault="00AF156E" w:rsidP="00EB3B15">
      <w:pPr>
        <w:jc w:val="both"/>
        <w:rPr>
          <w:spacing w:val="0"/>
          <w:kern w:val="2"/>
        </w:rPr>
      </w:pPr>
    </w:p>
    <w:p w:rsidR="00913117" w:rsidRPr="00A401D4" w:rsidRDefault="00812D59" w:rsidP="00EB3B15">
      <w:pPr>
        <w:jc w:val="both"/>
        <w:rPr>
          <w:b/>
          <w:spacing w:val="0"/>
          <w:kern w:val="2"/>
        </w:rPr>
      </w:pPr>
      <w:r w:rsidRPr="00A401D4">
        <w:rPr>
          <w:b/>
          <w:spacing w:val="0"/>
          <w:kern w:val="2"/>
        </w:rPr>
        <w:t>The subrecipient arrange</w:t>
      </w:r>
      <w:r w:rsidR="00913117" w:rsidRPr="00A401D4">
        <w:rPr>
          <w:b/>
          <w:spacing w:val="0"/>
          <w:kern w:val="2"/>
        </w:rPr>
        <w:t>ment should contain provisions that address the following:</w:t>
      </w:r>
    </w:p>
    <w:p w:rsidR="00913117" w:rsidRPr="00A401D4" w:rsidRDefault="00913117" w:rsidP="00EB3B15">
      <w:pPr>
        <w:widowControl w:val="0"/>
        <w:jc w:val="both"/>
        <w:rPr>
          <w:spacing w:val="0"/>
          <w:kern w:val="2"/>
        </w:rPr>
      </w:pPr>
    </w:p>
    <w:p w:rsidR="00191B27" w:rsidRPr="00A401D4" w:rsidRDefault="00913117" w:rsidP="00EB3B15">
      <w:pPr>
        <w:numPr>
          <w:ilvl w:val="0"/>
          <w:numId w:val="2"/>
        </w:numPr>
        <w:autoSpaceDE w:val="0"/>
        <w:autoSpaceDN w:val="0"/>
        <w:adjustRightInd w:val="0"/>
        <w:ind w:right="98"/>
        <w:jc w:val="both"/>
        <w:rPr>
          <w:spacing w:val="0"/>
          <w:kern w:val="2"/>
        </w:rPr>
      </w:pPr>
      <w:r w:rsidRPr="00A401D4">
        <w:rPr>
          <w:bCs w:val="0"/>
          <w:snapToGrid w:val="0"/>
          <w:spacing w:val="0"/>
          <w:kern w:val="2"/>
        </w:rPr>
        <w:t>Mutual agreements by the parties vis-à-vis the purpose of the grant award</w:t>
      </w:r>
    </w:p>
    <w:p w:rsidR="00913117" w:rsidRPr="00A401D4" w:rsidRDefault="00913117" w:rsidP="00EB3B15">
      <w:pPr>
        <w:widowControl w:val="0"/>
        <w:tabs>
          <w:tab w:val="left" w:pos="-1440"/>
        </w:tabs>
        <w:ind w:left="720"/>
        <w:jc w:val="both"/>
        <w:rPr>
          <w:bCs w:val="0"/>
          <w:snapToGrid w:val="0"/>
          <w:spacing w:val="0"/>
          <w:kern w:val="2"/>
        </w:rPr>
      </w:pPr>
    </w:p>
    <w:p w:rsidR="00191B27" w:rsidRPr="00A401D4" w:rsidRDefault="00913117" w:rsidP="00EB3B15">
      <w:pPr>
        <w:numPr>
          <w:ilvl w:val="0"/>
          <w:numId w:val="3"/>
        </w:numPr>
        <w:autoSpaceDE w:val="0"/>
        <w:autoSpaceDN w:val="0"/>
        <w:adjustRightInd w:val="0"/>
        <w:ind w:right="-20"/>
        <w:jc w:val="both"/>
        <w:rPr>
          <w:spacing w:val="0"/>
          <w:kern w:val="2"/>
        </w:rPr>
      </w:pPr>
      <w:r w:rsidRPr="00A401D4">
        <w:rPr>
          <w:bCs w:val="0"/>
          <w:snapToGrid w:val="0"/>
          <w:spacing w:val="0"/>
          <w:kern w:val="2"/>
        </w:rPr>
        <w:t>The subrecipient will support and promote the purpose for which the grant was awarded by performing certain duties and providing certain services</w:t>
      </w:r>
    </w:p>
    <w:p w:rsidR="00913117" w:rsidRPr="00A401D4" w:rsidRDefault="00913117" w:rsidP="00EB3B15">
      <w:pPr>
        <w:widowControl w:val="0"/>
        <w:tabs>
          <w:tab w:val="left" w:pos="-1440"/>
        </w:tabs>
        <w:ind w:left="1440"/>
        <w:jc w:val="both"/>
        <w:rPr>
          <w:bCs w:val="0"/>
          <w:snapToGrid w:val="0"/>
          <w:spacing w:val="0"/>
          <w:kern w:val="2"/>
        </w:rPr>
      </w:pPr>
    </w:p>
    <w:p w:rsidR="00191B27" w:rsidRPr="00A401D4" w:rsidRDefault="00913117" w:rsidP="00EB3B15">
      <w:pPr>
        <w:numPr>
          <w:ilvl w:val="0"/>
          <w:numId w:val="3"/>
        </w:numPr>
        <w:autoSpaceDE w:val="0"/>
        <w:autoSpaceDN w:val="0"/>
        <w:adjustRightInd w:val="0"/>
        <w:ind w:right="-20"/>
        <w:jc w:val="both"/>
        <w:rPr>
          <w:spacing w:val="0"/>
          <w:kern w:val="2"/>
        </w:rPr>
      </w:pPr>
      <w:r w:rsidRPr="00A401D4">
        <w:rPr>
          <w:bCs w:val="0"/>
          <w:snapToGrid w:val="0"/>
          <w:spacing w:val="0"/>
          <w:kern w:val="2"/>
        </w:rPr>
        <w:t>In consideration of the subrecipient’s performance, the recipient will make the grant funds available to the subrecipient</w:t>
      </w:r>
    </w:p>
    <w:p w:rsidR="00913117" w:rsidRPr="00A401D4" w:rsidRDefault="00913117" w:rsidP="00EB3B15">
      <w:pPr>
        <w:widowControl w:val="0"/>
        <w:tabs>
          <w:tab w:val="left" w:pos="-1440"/>
        </w:tabs>
        <w:ind w:left="1440"/>
        <w:jc w:val="both"/>
        <w:rPr>
          <w:bCs w:val="0"/>
          <w:snapToGrid w:val="0"/>
          <w:spacing w:val="0"/>
          <w:kern w:val="2"/>
        </w:rPr>
      </w:pPr>
    </w:p>
    <w:p w:rsidR="001975E2" w:rsidRPr="00A401D4" w:rsidRDefault="00913117" w:rsidP="00EB3B15">
      <w:pPr>
        <w:numPr>
          <w:ilvl w:val="0"/>
          <w:numId w:val="2"/>
        </w:numPr>
        <w:autoSpaceDE w:val="0"/>
        <w:autoSpaceDN w:val="0"/>
        <w:adjustRightInd w:val="0"/>
        <w:ind w:right="98"/>
        <w:jc w:val="both"/>
        <w:rPr>
          <w:spacing w:val="0"/>
          <w:kern w:val="2"/>
        </w:rPr>
      </w:pPr>
      <w:r w:rsidRPr="00A401D4">
        <w:rPr>
          <w:bCs w:val="0"/>
          <w:snapToGrid w:val="0"/>
          <w:spacing w:val="0"/>
          <w:kern w:val="2"/>
        </w:rPr>
        <w:t>Agreement by the subrecipient to comply with all terms and conditions of the gran</w:t>
      </w:r>
      <w:r w:rsidR="00AF156E" w:rsidRPr="00A401D4">
        <w:rPr>
          <w:bCs w:val="0"/>
          <w:snapToGrid w:val="0"/>
          <w:spacing w:val="0"/>
          <w:kern w:val="2"/>
        </w:rPr>
        <w:t>t award, as well as applicable f</w:t>
      </w:r>
      <w:r w:rsidRPr="00A401D4">
        <w:rPr>
          <w:bCs w:val="0"/>
          <w:snapToGrid w:val="0"/>
          <w:spacing w:val="0"/>
          <w:kern w:val="2"/>
        </w:rPr>
        <w:t>ederal law, regulation and policy with which the recipient must comply</w:t>
      </w:r>
    </w:p>
    <w:p w:rsidR="00913117" w:rsidRPr="00A401D4" w:rsidRDefault="00913117" w:rsidP="00EB3B15">
      <w:pPr>
        <w:widowControl w:val="0"/>
        <w:tabs>
          <w:tab w:val="left" w:pos="-1440"/>
        </w:tabs>
        <w:ind w:left="720"/>
        <w:jc w:val="both"/>
        <w:rPr>
          <w:bCs w:val="0"/>
          <w:snapToGrid w:val="0"/>
          <w:spacing w:val="0"/>
          <w:kern w:val="2"/>
        </w:rPr>
      </w:pPr>
    </w:p>
    <w:p w:rsidR="001975E2" w:rsidRPr="00A401D4" w:rsidRDefault="00913117" w:rsidP="00EB3B15">
      <w:pPr>
        <w:numPr>
          <w:ilvl w:val="0"/>
          <w:numId w:val="2"/>
        </w:numPr>
        <w:autoSpaceDE w:val="0"/>
        <w:autoSpaceDN w:val="0"/>
        <w:adjustRightInd w:val="0"/>
        <w:ind w:right="98"/>
        <w:jc w:val="both"/>
        <w:rPr>
          <w:spacing w:val="0"/>
          <w:kern w:val="2"/>
        </w:rPr>
      </w:pPr>
      <w:r w:rsidRPr="00A401D4">
        <w:rPr>
          <w:bCs w:val="0"/>
          <w:snapToGrid w:val="0"/>
          <w:spacing w:val="0"/>
          <w:kern w:val="2"/>
        </w:rPr>
        <w:t>Detailed scope of work consistent with the approved grant application</w:t>
      </w:r>
    </w:p>
    <w:p w:rsidR="00913117" w:rsidRPr="00A401D4" w:rsidRDefault="00913117" w:rsidP="00EB3B15">
      <w:pPr>
        <w:widowControl w:val="0"/>
        <w:tabs>
          <w:tab w:val="left" w:pos="-1440"/>
        </w:tabs>
        <w:jc w:val="both"/>
        <w:rPr>
          <w:bCs w:val="0"/>
          <w:snapToGrid w:val="0"/>
          <w:spacing w:val="0"/>
          <w:kern w:val="2"/>
        </w:rPr>
      </w:pPr>
    </w:p>
    <w:p w:rsidR="001975E2" w:rsidRPr="00A401D4" w:rsidRDefault="00913117" w:rsidP="00EB3B15">
      <w:pPr>
        <w:numPr>
          <w:ilvl w:val="0"/>
          <w:numId w:val="2"/>
        </w:numPr>
        <w:autoSpaceDE w:val="0"/>
        <w:autoSpaceDN w:val="0"/>
        <w:adjustRightInd w:val="0"/>
        <w:ind w:right="98"/>
        <w:jc w:val="both"/>
        <w:rPr>
          <w:spacing w:val="0"/>
          <w:kern w:val="2"/>
        </w:rPr>
      </w:pPr>
      <w:r w:rsidRPr="00A401D4">
        <w:rPr>
          <w:bCs w:val="0"/>
          <w:snapToGrid w:val="0"/>
          <w:spacing w:val="0"/>
          <w:kern w:val="2"/>
        </w:rPr>
        <w:t>Requirement that the subrecipient request and obtain the recipient’s approval prior to implementing any significant modifications to the scope</w:t>
      </w:r>
    </w:p>
    <w:p w:rsidR="00913117" w:rsidRPr="00A401D4" w:rsidRDefault="00913117" w:rsidP="00EB3B15">
      <w:pPr>
        <w:widowControl w:val="0"/>
        <w:tabs>
          <w:tab w:val="left" w:pos="-1440"/>
        </w:tabs>
        <w:ind w:left="720"/>
        <w:jc w:val="both"/>
        <w:rPr>
          <w:bCs w:val="0"/>
          <w:snapToGrid w:val="0"/>
          <w:spacing w:val="0"/>
          <w:kern w:val="2"/>
        </w:rPr>
      </w:pPr>
    </w:p>
    <w:p w:rsidR="001975E2" w:rsidRPr="00A401D4" w:rsidRDefault="00913117" w:rsidP="00EB3B15">
      <w:pPr>
        <w:numPr>
          <w:ilvl w:val="0"/>
          <w:numId w:val="2"/>
        </w:numPr>
        <w:autoSpaceDE w:val="0"/>
        <w:autoSpaceDN w:val="0"/>
        <w:adjustRightInd w:val="0"/>
        <w:ind w:right="98"/>
        <w:jc w:val="both"/>
        <w:rPr>
          <w:spacing w:val="0"/>
          <w:kern w:val="2"/>
        </w:rPr>
      </w:pPr>
      <w:r w:rsidRPr="00A401D4">
        <w:rPr>
          <w:bCs w:val="0"/>
          <w:snapToGrid w:val="0"/>
          <w:spacing w:val="0"/>
          <w:kern w:val="2"/>
        </w:rPr>
        <w:t xml:space="preserve">Payment terms, including </w:t>
      </w:r>
    </w:p>
    <w:p w:rsidR="00913117" w:rsidRPr="00A401D4" w:rsidRDefault="00913117" w:rsidP="00EB3B15">
      <w:pPr>
        <w:widowControl w:val="0"/>
        <w:tabs>
          <w:tab w:val="left" w:pos="-1440"/>
        </w:tabs>
        <w:jc w:val="both"/>
        <w:rPr>
          <w:bCs w:val="0"/>
          <w:snapToGrid w:val="0"/>
          <w:spacing w:val="0"/>
          <w:kern w:val="2"/>
        </w:rPr>
      </w:pPr>
    </w:p>
    <w:p w:rsidR="00191B27" w:rsidRPr="00A401D4" w:rsidRDefault="00D607F4" w:rsidP="00EB3B15">
      <w:pPr>
        <w:numPr>
          <w:ilvl w:val="0"/>
          <w:numId w:val="3"/>
        </w:numPr>
        <w:autoSpaceDE w:val="0"/>
        <w:autoSpaceDN w:val="0"/>
        <w:adjustRightInd w:val="0"/>
        <w:ind w:right="-20"/>
        <w:jc w:val="both"/>
        <w:rPr>
          <w:spacing w:val="0"/>
          <w:kern w:val="2"/>
        </w:rPr>
      </w:pPr>
      <w:r w:rsidRPr="00A401D4">
        <w:rPr>
          <w:bCs w:val="0"/>
          <w:snapToGrid w:val="0"/>
          <w:spacing w:val="0"/>
          <w:kern w:val="2"/>
        </w:rPr>
        <w:t>Ceiling amount/ n</w:t>
      </w:r>
      <w:r w:rsidR="00913117" w:rsidRPr="00A401D4">
        <w:rPr>
          <w:bCs w:val="0"/>
          <w:snapToGrid w:val="0"/>
          <w:spacing w:val="0"/>
          <w:kern w:val="2"/>
        </w:rPr>
        <w:t>ot-to-exceed amount</w:t>
      </w:r>
    </w:p>
    <w:p w:rsidR="00913117" w:rsidRPr="00A401D4" w:rsidRDefault="00913117" w:rsidP="00EB3B15">
      <w:pPr>
        <w:widowControl w:val="0"/>
        <w:tabs>
          <w:tab w:val="left" w:pos="-1440"/>
        </w:tabs>
        <w:ind w:left="1440"/>
        <w:jc w:val="both"/>
        <w:rPr>
          <w:bCs w:val="0"/>
          <w:snapToGrid w:val="0"/>
          <w:spacing w:val="0"/>
          <w:kern w:val="2"/>
        </w:rPr>
      </w:pPr>
    </w:p>
    <w:p w:rsidR="00191B27" w:rsidRPr="00A401D4" w:rsidRDefault="00913117" w:rsidP="00EB3B15">
      <w:pPr>
        <w:numPr>
          <w:ilvl w:val="0"/>
          <w:numId w:val="3"/>
        </w:numPr>
        <w:autoSpaceDE w:val="0"/>
        <w:autoSpaceDN w:val="0"/>
        <w:adjustRightInd w:val="0"/>
        <w:ind w:right="-20"/>
        <w:jc w:val="both"/>
        <w:rPr>
          <w:spacing w:val="0"/>
          <w:kern w:val="2"/>
        </w:rPr>
      </w:pPr>
      <w:r w:rsidRPr="00A401D4">
        <w:rPr>
          <w:bCs w:val="0"/>
          <w:snapToGrid w:val="0"/>
          <w:spacing w:val="0"/>
          <w:kern w:val="2"/>
        </w:rPr>
        <w:t>Budget, drafted in accordance with the</w:t>
      </w:r>
      <w:bookmarkStart w:id="0" w:name="_GoBack"/>
      <w:bookmarkEnd w:id="0"/>
      <w:r w:rsidRPr="00A401D4">
        <w:rPr>
          <w:bCs w:val="0"/>
          <w:snapToGrid w:val="0"/>
          <w:spacing w:val="0"/>
          <w:kern w:val="2"/>
        </w:rPr>
        <w:t xml:space="preserve"> recipient’s approved budget and approved by the recipient prior to implementation</w:t>
      </w:r>
    </w:p>
    <w:p w:rsidR="00913117" w:rsidRPr="00A401D4" w:rsidRDefault="00913117" w:rsidP="00EB3B15">
      <w:pPr>
        <w:widowControl w:val="0"/>
        <w:tabs>
          <w:tab w:val="left" w:pos="-1440"/>
        </w:tabs>
        <w:ind w:left="1440"/>
        <w:jc w:val="both"/>
        <w:rPr>
          <w:bCs w:val="0"/>
          <w:snapToGrid w:val="0"/>
          <w:spacing w:val="0"/>
          <w:kern w:val="2"/>
        </w:rPr>
      </w:pPr>
    </w:p>
    <w:p w:rsidR="00191B27" w:rsidRPr="00A401D4" w:rsidRDefault="00913117" w:rsidP="00EB3B15">
      <w:pPr>
        <w:numPr>
          <w:ilvl w:val="0"/>
          <w:numId w:val="3"/>
        </w:numPr>
        <w:autoSpaceDE w:val="0"/>
        <w:autoSpaceDN w:val="0"/>
        <w:adjustRightInd w:val="0"/>
        <w:ind w:right="-20"/>
        <w:jc w:val="both"/>
        <w:rPr>
          <w:spacing w:val="0"/>
          <w:kern w:val="2"/>
        </w:rPr>
      </w:pPr>
      <w:r w:rsidRPr="00A401D4">
        <w:rPr>
          <w:bCs w:val="0"/>
          <w:snapToGrid w:val="0"/>
          <w:spacing w:val="0"/>
          <w:kern w:val="2"/>
        </w:rPr>
        <w:t>Procedures for payment (</w:t>
      </w:r>
      <w:r w:rsidR="000F683F" w:rsidRPr="00A401D4">
        <w:rPr>
          <w:bCs w:val="0"/>
          <w:snapToGrid w:val="0"/>
          <w:spacing w:val="0"/>
          <w:kern w:val="2"/>
          <w:u w:val="single"/>
        </w:rPr>
        <w:t>e.g.</w:t>
      </w:r>
      <w:r w:rsidRPr="00A401D4">
        <w:rPr>
          <w:bCs w:val="0"/>
          <w:snapToGrid w:val="0"/>
          <w:spacing w:val="0"/>
          <w:kern w:val="2"/>
        </w:rPr>
        <w:t>, timing and documentation)</w:t>
      </w:r>
      <w:r w:rsidR="00191B27" w:rsidRPr="00A401D4">
        <w:rPr>
          <w:spacing w:val="0"/>
          <w:kern w:val="2"/>
        </w:rPr>
        <w:t xml:space="preserve"> </w:t>
      </w:r>
    </w:p>
    <w:p w:rsidR="00913117" w:rsidRPr="00A401D4" w:rsidRDefault="00913117" w:rsidP="00EB3B15">
      <w:pPr>
        <w:widowControl w:val="0"/>
        <w:tabs>
          <w:tab w:val="left" w:pos="-1440"/>
        </w:tabs>
        <w:ind w:left="720"/>
        <w:jc w:val="both"/>
        <w:rPr>
          <w:bCs w:val="0"/>
          <w:snapToGrid w:val="0"/>
          <w:spacing w:val="0"/>
          <w:kern w:val="2"/>
        </w:rPr>
      </w:pPr>
    </w:p>
    <w:p w:rsidR="00191B27" w:rsidRPr="00A401D4" w:rsidRDefault="00913117" w:rsidP="00EB3B15">
      <w:pPr>
        <w:numPr>
          <w:ilvl w:val="0"/>
          <w:numId w:val="3"/>
        </w:numPr>
        <w:autoSpaceDE w:val="0"/>
        <w:autoSpaceDN w:val="0"/>
        <w:adjustRightInd w:val="0"/>
        <w:ind w:right="-20"/>
        <w:jc w:val="both"/>
        <w:rPr>
          <w:spacing w:val="0"/>
          <w:kern w:val="2"/>
        </w:rPr>
      </w:pPr>
      <w:r w:rsidRPr="00A401D4">
        <w:rPr>
          <w:bCs w:val="0"/>
          <w:snapToGrid w:val="0"/>
          <w:spacing w:val="0"/>
          <w:kern w:val="2"/>
        </w:rPr>
        <w:t>Any special terms and conditions of the grant (</w:t>
      </w:r>
      <w:r w:rsidR="005C133D" w:rsidRPr="00A401D4">
        <w:rPr>
          <w:bCs w:val="0"/>
          <w:snapToGrid w:val="0"/>
          <w:spacing w:val="0"/>
          <w:kern w:val="2"/>
          <w:u w:val="single"/>
        </w:rPr>
        <w:t>e.g.</w:t>
      </w:r>
      <w:r w:rsidRPr="00A401D4">
        <w:rPr>
          <w:bCs w:val="0"/>
          <w:snapToGrid w:val="0"/>
          <w:spacing w:val="0"/>
          <w:kern w:val="2"/>
        </w:rPr>
        <w:t>, allowable and unallowable costs</w:t>
      </w:r>
      <w:r w:rsidR="000F683F" w:rsidRPr="00A401D4">
        <w:rPr>
          <w:bCs w:val="0"/>
          <w:snapToGrid w:val="0"/>
          <w:spacing w:val="0"/>
          <w:kern w:val="2"/>
        </w:rPr>
        <w:t>, draw restrictions, cost reimbursement, financial reporting</w:t>
      </w:r>
      <w:r w:rsidRPr="00A401D4">
        <w:rPr>
          <w:bCs w:val="0"/>
          <w:snapToGrid w:val="0"/>
          <w:spacing w:val="0"/>
          <w:kern w:val="2"/>
        </w:rPr>
        <w:t>)</w:t>
      </w:r>
      <w:r w:rsidR="00191B27" w:rsidRPr="00A401D4">
        <w:rPr>
          <w:spacing w:val="0"/>
          <w:kern w:val="2"/>
        </w:rPr>
        <w:t xml:space="preserve"> </w:t>
      </w:r>
    </w:p>
    <w:p w:rsidR="00913117" w:rsidRPr="00A401D4" w:rsidRDefault="00913117" w:rsidP="00EB3B15">
      <w:pPr>
        <w:widowControl w:val="0"/>
        <w:tabs>
          <w:tab w:val="left" w:pos="-1440"/>
        </w:tabs>
        <w:ind w:left="1440"/>
        <w:jc w:val="both"/>
        <w:rPr>
          <w:bCs w:val="0"/>
          <w:snapToGrid w:val="0"/>
          <w:spacing w:val="0"/>
          <w:kern w:val="2"/>
        </w:rPr>
      </w:pPr>
    </w:p>
    <w:p w:rsidR="00191B27" w:rsidRPr="00A401D4" w:rsidRDefault="00913117" w:rsidP="00EB3B15">
      <w:pPr>
        <w:numPr>
          <w:ilvl w:val="0"/>
          <w:numId w:val="3"/>
        </w:numPr>
        <w:autoSpaceDE w:val="0"/>
        <w:autoSpaceDN w:val="0"/>
        <w:adjustRightInd w:val="0"/>
        <w:ind w:right="-20"/>
        <w:jc w:val="both"/>
        <w:rPr>
          <w:spacing w:val="0"/>
          <w:kern w:val="2"/>
        </w:rPr>
      </w:pPr>
      <w:r w:rsidRPr="00A401D4">
        <w:rPr>
          <w:bCs w:val="0"/>
          <w:snapToGrid w:val="0"/>
          <w:spacing w:val="0"/>
          <w:kern w:val="2"/>
        </w:rPr>
        <w:t>Retention by the subrecipient of liability for disallowances of any costs the subrecipient claims</w:t>
      </w:r>
    </w:p>
    <w:p w:rsidR="00913117" w:rsidRPr="00A401D4" w:rsidRDefault="00913117" w:rsidP="00EB3B15">
      <w:pPr>
        <w:widowControl w:val="0"/>
        <w:tabs>
          <w:tab w:val="left" w:pos="-1440"/>
        </w:tabs>
        <w:ind w:left="1440"/>
        <w:jc w:val="both"/>
        <w:rPr>
          <w:bCs w:val="0"/>
          <w:snapToGrid w:val="0"/>
          <w:spacing w:val="0"/>
          <w:kern w:val="2"/>
        </w:rPr>
      </w:pPr>
    </w:p>
    <w:p w:rsidR="001975E2" w:rsidRPr="00A401D4" w:rsidRDefault="00913117" w:rsidP="00EB3B15">
      <w:pPr>
        <w:numPr>
          <w:ilvl w:val="0"/>
          <w:numId w:val="2"/>
        </w:numPr>
        <w:autoSpaceDE w:val="0"/>
        <w:autoSpaceDN w:val="0"/>
        <w:adjustRightInd w:val="0"/>
        <w:ind w:right="98"/>
        <w:jc w:val="both"/>
        <w:rPr>
          <w:spacing w:val="0"/>
          <w:kern w:val="2"/>
        </w:rPr>
      </w:pPr>
      <w:r w:rsidRPr="00A401D4">
        <w:rPr>
          <w:bCs w:val="0"/>
          <w:snapToGrid w:val="0"/>
          <w:spacing w:val="0"/>
          <w:kern w:val="2"/>
        </w:rPr>
        <w:lastRenderedPageBreak/>
        <w:t>Requirement that the subrecipient request and obtain the recipient’s approval prior to implementing any significant modifications to the approved budget</w:t>
      </w:r>
    </w:p>
    <w:p w:rsidR="00913117" w:rsidRPr="00A401D4" w:rsidRDefault="00913117" w:rsidP="00EB3B15">
      <w:pPr>
        <w:widowControl w:val="0"/>
        <w:tabs>
          <w:tab w:val="left" w:pos="-1440"/>
        </w:tabs>
        <w:jc w:val="both"/>
        <w:rPr>
          <w:bCs w:val="0"/>
          <w:snapToGrid w:val="0"/>
          <w:spacing w:val="0"/>
          <w:kern w:val="2"/>
        </w:rPr>
      </w:pPr>
    </w:p>
    <w:p w:rsidR="001975E2" w:rsidRPr="00A401D4" w:rsidRDefault="00913117" w:rsidP="00EB3B15">
      <w:pPr>
        <w:numPr>
          <w:ilvl w:val="0"/>
          <w:numId w:val="2"/>
        </w:numPr>
        <w:autoSpaceDE w:val="0"/>
        <w:autoSpaceDN w:val="0"/>
        <w:adjustRightInd w:val="0"/>
        <w:ind w:right="98"/>
        <w:jc w:val="both"/>
        <w:rPr>
          <w:spacing w:val="0"/>
          <w:kern w:val="2"/>
        </w:rPr>
      </w:pPr>
      <w:r w:rsidRPr="00A401D4">
        <w:rPr>
          <w:bCs w:val="0"/>
          <w:snapToGrid w:val="0"/>
          <w:spacing w:val="0"/>
          <w:kern w:val="2"/>
        </w:rPr>
        <w:t>As necessary, establishment by the subrecipient of financial and programmatic management policies in accordance with 45 C</w:t>
      </w:r>
      <w:r w:rsidR="00101D14" w:rsidRPr="00A401D4">
        <w:rPr>
          <w:bCs w:val="0"/>
          <w:snapToGrid w:val="0"/>
          <w:spacing w:val="0"/>
          <w:kern w:val="2"/>
        </w:rPr>
        <w:t>.</w:t>
      </w:r>
      <w:r w:rsidRPr="00A401D4">
        <w:rPr>
          <w:bCs w:val="0"/>
          <w:snapToGrid w:val="0"/>
          <w:spacing w:val="0"/>
          <w:kern w:val="2"/>
        </w:rPr>
        <w:t>F</w:t>
      </w:r>
      <w:r w:rsidR="00101D14" w:rsidRPr="00A401D4">
        <w:rPr>
          <w:bCs w:val="0"/>
          <w:snapToGrid w:val="0"/>
          <w:spacing w:val="0"/>
          <w:kern w:val="2"/>
        </w:rPr>
        <w:t>.</w:t>
      </w:r>
      <w:r w:rsidRPr="00A401D4">
        <w:rPr>
          <w:bCs w:val="0"/>
          <w:snapToGrid w:val="0"/>
          <w:spacing w:val="0"/>
          <w:kern w:val="2"/>
        </w:rPr>
        <w:t>R</w:t>
      </w:r>
      <w:r w:rsidR="00101D14" w:rsidRPr="00A401D4">
        <w:rPr>
          <w:bCs w:val="0"/>
          <w:snapToGrid w:val="0"/>
          <w:spacing w:val="0"/>
          <w:kern w:val="2"/>
        </w:rPr>
        <w:t>.</w:t>
      </w:r>
      <w:r w:rsidRPr="00A401D4">
        <w:rPr>
          <w:bCs w:val="0"/>
          <w:snapToGrid w:val="0"/>
          <w:spacing w:val="0"/>
          <w:kern w:val="2"/>
        </w:rPr>
        <w:t xml:space="preserve"> Part 7</w:t>
      </w:r>
      <w:r w:rsidR="00101D14" w:rsidRPr="00A401D4">
        <w:rPr>
          <w:bCs w:val="0"/>
          <w:snapToGrid w:val="0"/>
          <w:spacing w:val="0"/>
          <w:kern w:val="2"/>
        </w:rPr>
        <w:t>5</w:t>
      </w:r>
    </w:p>
    <w:p w:rsidR="00913117" w:rsidRPr="00A401D4" w:rsidRDefault="00913117" w:rsidP="00EB3B15">
      <w:pPr>
        <w:widowControl w:val="0"/>
        <w:tabs>
          <w:tab w:val="left" w:pos="-540"/>
        </w:tabs>
        <w:jc w:val="both"/>
        <w:rPr>
          <w:bCs w:val="0"/>
          <w:snapToGrid w:val="0"/>
          <w:spacing w:val="0"/>
          <w:kern w:val="2"/>
        </w:rPr>
      </w:pPr>
    </w:p>
    <w:p w:rsidR="001975E2" w:rsidRPr="00A401D4" w:rsidRDefault="00913117" w:rsidP="00EB3B15">
      <w:pPr>
        <w:numPr>
          <w:ilvl w:val="0"/>
          <w:numId w:val="2"/>
        </w:numPr>
        <w:autoSpaceDE w:val="0"/>
        <w:autoSpaceDN w:val="0"/>
        <w:adjustRightInd w:val="0"/>
        <w:ind w:right="98"/>
        <w:jc w:val="both"/>
        <w:rPr>
          <w:spacing w:val="0"/>
          <w:kern w:val="2"/>
        </w:rPr>
      </w:pPr>
      <w:r w:rsidRPr="00A401D4">
        <w:rPr>
          <w:bCs w:val="0"/>
          <w:snapToGrid w:val="0"/>
          <w:spacing w:val="0"/>
          <w:kern w:val="2"/>
        </w:rPr>
        <w:t>Monitoring and oversight by the recipient</w:t>
      </w:r>
      <w:r w:rsidR="00D23F01" w:rsidRPr="00A401D4">
        <w:rPr>
          <w:bCs w:val="0"/>
          <w:snapToGrid w:val="0"/>
          <w:spacing w:val="0"/>
          <w:kern w:val="2"/>
        </w:rPr>
        <w:t>, including:</w:t>
      </w:r>
      <w:r w:rsidR="001975E2" w:rsidRPr="00A401D4">
        <w:rPr>
          <w:spacing w:val="0"/>
          <w:kern w:val="2"/>
        </w:rPr>
        <w:t xml:space="preserve"> </w:t>
      </w:r>
    </w:p>
    <w:p w:rsidR="00913117" w:rsidRPr="00A401D4" w:rsidRDefault="00913117" w:rsidP="00EB3B15">
      <w:pPr>
        <w:widowControl w:val="0"/>
        <w:tabs>
          <w:tab w:val="left" w:pos="-1440"/>
        </w:tabs>
        <w:jc w:val="both"/>
        <w:rPr>
          <w:bCs w:val="0"/>
          <w:snapToGrid w:val="0"/>
          <w:spacing w:val="0"/>
          <w:kern w:val="2"/>
        </w:rPr>
      </w:pPr>
    </w:p>
    <w:p w:rsidR="00B30044" w:rsidRPr="00A401D4" w:rsidRDefault="00913117" w:rsidP="00EB3B15">
      <w:pPr>
        <w:numPr>
          <w:ilvl w:val="0"/>
          <w:numId w:val="3"/>
        </w:numPr>
        <w:autoSpaceDE w:val="0"/>
        <w:autoSpaceDN w:val="0"/>
        <w:adjustRightInd w:val="0"/>
        <w:ind w:right="-20"/>
        <w:jc w:val="both"/>
        <w:rPr>
          <w:spacing w:val="0"/>
          <w:kern w:val="2"/>
        </w:rPr>
      </w:pPr>
      <w:r w:rsidRPr="00A401D4">
        <w:rPr>
          <w:bCs w:val="0"/>
          <w:snapToGrid w:val="0"/>
          <w:spacing w:val="0"/>
          <w:kern w:val="2"/>
        </w:rPr>
        <w:t>The recipient’s right to conduct site visits and/or limited scope audits and offer technical assistance, as necessary</w:t>
      </w:r>
    </w:p>
    <w:p w:rsidR="00913117" w:rsidRPr="00A401D4" w:rsidRDefault="00913117" w:rsidP="00EB3B15">
      <w:pPr>
        <w:widowControl w:val="0"/>
        <w:tabs>
          <w:tab w:val="left" w:pos="-1440"/>
        </w:tabs>
        <w:ind w:left="1440"/>
        <w:jc w:val="both"/>
        <w:rPr>
          <w:bCs w:val="0"/>
          <w:snapToGrid w:val="0"/>
          <w:spacing w:val="0"/>
          <w:kern w:val="2"/>
        </w:rPr>
      </w:pPr>
    </w:p>
    <w:p w:rsidR="00B30044" w:rsidRPr="00A401D4" w:rsidRDefault="00913117" w:rsidP="00EB3B15">
      <w:pPr>
        <w:numPr>
          <w:ilvl w:val="0"/>
          <w:numId w:val="3"/>
        </w:numPr>
        <w:autoSpaceDE w:val="0"/>
        <w:autoSpaceDN w:val="0"/>
        <w:adjustRightInd w:val="0"/>
        <w:ind w:right="-20"/>
        <w:jc w:val="both"/>
        <w:rPr>
          <w:spacing w:val="0"/>
          <w:kern w:val="2"/>
        </w:rPr>
      </w:pPr>
      <w:r w:rsidRPr="00A401D4">
        <w:rPr>
          <w:bCs w:val="0"/>
          <w:snapToGrid w:val="0"/>
          <w:spacing w:val="0"/>
          <w:kern w:val="2"/>
        </w:rPr>
        <w:t xml:space="preserve">Preparation and provision by the subrecipient of programmatic and financial reports, as well as its annual </w:t>
      </w:r>
      <w:r w:rsidR="00204651" w:rsidRPr="00A401D4">
        <w:rPr>
          <w:bCs w:val="0"/>
          <w:snapToGrid w:val="0"/>
          <w:spacing w:val="0"/>
          <w:kern w:val="2"/>
        </w:rPr>
        <w:t>independent</w:t>
      </w:r>
      <w:r w:rsidRPr="00A401D4">
        <w:rPr>
          <w:bCs w:val="0"/>
          <w:snapToGrid w:val="0"/>
          <w:spacing w:val="0"/>
          <w:kern w:val="2"/>
        </w:rPr>
        <w:t xml:space="preserve"> audit (if applicable)</w:t>
      </w:r>
      <w:r w:rsidR="00B30044" w:rsidRPr="00A401D4">
        <w:rPr>
          <w:spacing w:val="0"/>
          <w:kern w:val="2"/>
        </w:rPr>
        <w:t xml:space="preserve"> </w:t>
      </w:r>
    </w:p>
    <w:p w:rsidR="00913117" w:rsidRPr="00A401D4" w:rsidRDefault="00913117" w:rsidP="00EB3B15">
      <w:pPr>
        <w:widowControl w:val="0"/>
        <w:tabs>
          <w:tab w:val="left" w:pos="-1440"/>
        </w:tabs>
        <w:ind w:left="1440"/>
        <w:jc w:val="both"/>
        <w:rPr>
          <w:bCs w:val="0"/>
          <w:snapToGrid w:val="0"/>
          <w:spacing w:val="0"/>
          <w:kern w:val="2"/>
        </w:rPr>
      </w:pPr>
    </w:p>
    <w:p w:rsidR="00B30044" w:rsidRPr="00A401D4" w:rsidRDefault="00913117" w:rsidP="00EB3B15">
      <w:pPr>
        <w:numPr>
          <w:ilvl w:val="0"/>
          <w:numId w:val="3"/>
        </w:numPr>
        <w:autoSpaceDE w:val="0"/>
        <w:autoSpaceDN w:val="0"/>
        <w:adjustRightInd w:val="0"/>
        <w:ind w:right="-20"/>
        <w:jc w:val="both"/>
        <w:rPr>
          <w:spacing w:val="0"/>
          <w:kern w:val="2"/>
        </w:rPr>
      </w:pPr>
      <w:r w:rsidRPr="00A401D4">
        <w:rPr>
          <w:bCs w:val="0"/>
          <w:snapToGrid w:val="0"/>
          <w:spacing w:val="0"/>
          <w:kern w:val="2"/>
        </w:rPr>
        <w:t>The subrecipient’s compliance with other record-keeping and reporting requirements c</w:t>
      </w:r>
      <w:r w:rsidR="00AF156E" w:rsidRPr="00A401D4">
        <w:rPr>
          <w:bCs w:val="0"/>
          <w:snapToGrid w:val="0"/>
          <w:spacing w:val="0"/>
          <w:kern w:val="2"/>
        </w:rPr>
        <w:t>onsistent with f</w:t>
      </w:r>
      <w:r w:rsidRPr="00A401D4">
        <w:rPr>
          <w:bCs w:val="0"/>
          <w:snapToGrid w:val="0"/>
          <w:spacing w:val="0"/>
          <w:kern w:val="2"/>
        </w:rPr>
        <w:t>ederal law and regulations (</w:t>
      </w:r>
      <w:r w:rsidR="00204651" w:rsidRPr="00A401D4">
        <w:rPr>
          <w:bCs w:val="0"/>
          <w:snapToGrid w:val="0"/>
          <w:spacing w:val="0"/>
          <w:kern w:val="2"/>
          <w:u w:val="single"/>
        </w:rPr>
        <w:t>e.g.</w:t>
      </w:r>
      <w:r w:rsidRPr="00A401D4">
        <w:rPr>
          <w:bCs w:val="0"/>
          <w:snapToGrid w:val="0"/>
          <w:spacing w:val="0"/>
          <w:kern w:val="2"/>
        </w:rPr>
        <w:t>, 45 C</w:t>
      </w:r>
      <w:r w:rsidR="00204651" w:rsidRPr="00A401D4">
        <w:rPr>
          <w:bCs w:val="0"/>
          <w:snapToGrid w:val="0"/>
          <w:spacing w:val="0"/>
          <w:kern w:val="2"/>
        </w:rPr>
        <w:t>.</w:t>
      </w:r>
      <w:r w:rsidRPr="00A401D4">
        <w:rPr>
          <w:bCs w:val="0"/>
          <w:snapToGrid w:val="0"/>
          <w:spacing w:val="0"/>
          <w:kern w:val="2"/>
        </w:rPr>
        <w:t>F</w:t>
      </w:r>
      <w:r w:rsidR="00204651" w:rsidRPr="00A401D4">
        <w:rPr>
          <w:bCs w:val="0"/>
          <w:snapToGrid w:val="0"/>
          <w:spacing w:val="0"/>
          <w:kern w:val="2"/>
        </w:rPr>
        <w:t>.</w:t>
      </w:r>
      <w:r w:rsidRPr="00A401D4">
        <w:rPr>
          <w:bCs w:val="0"/>
          <w:snapToGrid w:val="0"/>
          <w:spacing w:val="0"/>
          <w:kern w:val="2"/>
        </w:rPr>
        <w:t>R</w:t>
      </w:r>
      <w:r w:rsidR="00204651" w:rsidRPr="00A401D4">
        <w:rPr>
          <w:bCs w:val="0"/>
          <w:snapToGrid w:val="0"/>
          <w:spacing w:val="0"/>
          <w:kern w:val="2"/>
        </w:rPr>
        <w:t>.</w:t>
      </w:r>
      <w:r w:rsidRPr="00A401D4">
        <w:rPr>
          <w:bCs w:val="0"/>
          <w:snapToGrid w:val="0"/>
          <w:spacing w:val="0"/>
          <w:kern w:val="2"/>
        </w:rPr>
        <w:t xml:space="preserve"> Part 7</w:t>
      </w:r>
      <w:r w:rsidR="00204651" w:rsidRPr="00A401D4">
        <w:rPr>
          <w:bCs w:val="0"/>
          <w:snapToGrid w:val="0"/>
          <w:spacing w:val="0"/>
          <w:kern w:val="2"/>
        </w:rPr>
        <w:t>5</w:t>
      </w:r>
      <w:r w:rsidRPr="00A401D4">
        <w:rPr>
          <w:bCs w:val="0"/>
          <w:snapToGrid w:val="0"/>
          <w:spacing w:val="0"/>
          <w:kern w:val="2"/>
        </w:rPr>
        <w:t xml:space="preserve">; </w:t>
      </w:r>
      <w:r w:rsidR="00AF156E" w:rsidRPr="00A401D4">
        <w:rPr>
          <w:bCs w:val="0"/>
          <w:snapToGrid w:val="0"/>
          <w:spacing w:val="0"/>
          <w:kern w:val="2"/>
        </w:rPr>
        <w:t>OMB Circular A-133</w:t>
      </w:r>
      <w:r w:rsidR="00D23F01" w:rsidRPr="00A401D4">
        <w:rPr>
          <w:rStyle w:val="Hyperlink"/>
          <w:bCs w:val="0"/>
          <w:snapToGrid w:val="0"/>
          <w:spacing w:val="0"/>
          <w:kern w:val="2"/>
          <w:u w:val="none"/>
        </w:rPr>
        <w:t xml:space="preserve"> </w:t>
      </w:r>
      <w:r w:rsidR="004918C3" w:rsidRPr="00A401D4">
        <w:rPr>
          <w:rStyle w:val="Hyperlink"/>
          <w:bCs w:val="0"/>
          <w:snapToGrid w:val="0"/>
          <w:color w:val="auto"/>
          <w:spacing w:val="0"/>
          <w:kern w:val="2"/>
          <w:u w:val="none"/>
        </w:rPr>
        <w:t>Compliance Supplement</w:t>
      </w:r>
      <w:r w:rsidRPr="00A401D4">
        <w:rPr>
          <w:bCs w:val="0"/>
          <w:snapToGrid w:val="0"/>
          <w:spacing w:val="0"/>
          <w:kern w:val="2"/>
        </w:rPr>
        <w:t>), including access to and maintenance of records</w:t>
      </w:r>
    </w:p>
    <w:p w:rsidR="00913117" w:rsidRPr="00A401D4" w:rsidRDefault="00913117" w:rsidP="00EB3B15">
      <w:pPr>
        <w:widowControl w:val="0"/>
        <w:tabs>
          <w:tab w:val="left" w:pos="-1440"/>
        </w:tabs>
        <w:ind w:left="1440"/>
        <w:jc w:val="both"/>
        <w:rPr>
          <w:bCs w:val="0"/>
          <w:snapToGrid w:val="0"/>
          <w:spacing w:val="0"/>
          <w:kern w:val="2"/>
        </w:rPr>
      </w:pPr>
    </w:p>
    <w:p w:rsidR="00B30044" w:rsidRPr="00A401D4" w:rsidRDefault="00913117" w:rsidP="00EB3B15">
      <w:pPr>
        <w:numPr>
          <w:ilvl w:val="0"/>
          <w:numId w:val="3"/>
        </w:numPr>
        <w:autoSpaceDE w:val="0"/>
        <w:autoSpaceDN w:val="0"/>
        <w:adjustRightInd w:val="0"/>
        <w:ind w:right="-20"/>
        <w:jc w:val="both"/>
        <w:rPr>
          <w:spacing w:val="0"/>
          <w:kern w:val="2"/>
        </w:rPr>
      </w:pPr>
      <w:r w:rsidRPr="00A401D4">
        <w:rPr>
          <w:bCs w:val="0"/>
          <w:snapToGrid w:val="0"/>
          <w:spacing w:val="0"/>
          <w:kern w:val="2"/>
        </w:rPr>
        <w:t>Establishment of minimum performance standards consistent with 45 C</w:t>
      </w:r>
      <w:r w:rsidR="004918C3" w:rsidRPr="00A401D4">
        <w:rPr>
          <w:bCs w:val="0"/>
          <w:snapToGrid w:val="0"/>
          <w:spacing w:val="0"/>
          <w:kern w:val="2"/>
        </w:rPr>
        <w:t>.</w:t>
      </w:r>
      <w:r w:rsidRPr="00A401D4">
        <w:rPr>
          <w:bCs w:val="0"/>
          <w:snapToGrid w:val="0"/>
          <w:spacing w:val="0"/>
          <w:kern w:val="2"/>
        </w:rPr>
        <w:t>F</w:t>
      </w:r>
      <w:r w:rsidR="004918C3" w:rsidRPr="00A401D4">
        <w:rPr>
          <w:bCs w:val="0"/>
          <w:snapToGrid w:val="0"/>
          <w:spacing w:val="0"/>
          <w:kern w:val="2"/>
        </w:rPr>
        <w:t>.</w:t>
      </w:r>
      <w:r w:rsidRPr="00A401D4">
        <w:rPr>
          <w:bCs w:val="0"/>
          <w:snapToGrid w:val="0"/>
          <w:spacing w:val="0"/>
          <w:kern w:val="2"/>
        </w:rPr>
        <w:t>R</w:t>
      </w:r>
      <w:r w:rsidR="004918C3" w:rsidRPr="00A401D4">
        <w:rPr>
          <w:bCs w:val="0"/>
          <w:snapToGrid w:val="0"/>
          <w:spacing w:val="0"/>
          <w:kern w:val="2"/>
        </w:rPr>
        <w:t>.</w:t>
      </w:r>
      <w:r w:rsidRPr="00A401D4">
        <w:rPr>
          <w:bCs w:val="0"/>
          <w:snapToGrid w:val="0"/>
          <w:spacing w:val="0"/>
          <w:kern w:val="2"/>
        </w:rPr>
        <w:t xml:space="preserve"> Part 7</w:t>
      </w:r>
      <w:r w:rsidR="004918C3" w:rsidRPr="00A401D4">
        <w:rPr>
          <w:bCs w:val="0"/>
          <w:snapToGrid w:val="0"/>
          <w:spacing w:val="0"/>
          <w:kern w:val="2"/>
        </w:rPr>
        <w:t>5</w:t>
      </w:r>
      <w:r w:rsidRPr="00A401D4">
        <w:rPr>
          <w:bCs w:val="0"/>
          <w:snapToGrid w:val="0"/>
          <w:spacing w:val="0"/>
          <w:kern w:val="2"/>
        </w:rPr>
        <w:t>, as well as monitoring requirements to ensure compliance with these standards</w:t>
      </w:r>
    </w:p>
    <w:p w:rsidR="00913117" w:rsidRPr="00A401D4" w:rsidRDefault="00913117" w:rsidP="00EB3B15">
      <w:pPr>
        <w:widowControl w:val="0"/>
        <w:tabs>
          <w:tab w:val="left" w:pos="-1440"/>
        </w:tabs>
        <w:ind w:left="1440"/>
        <w:jc w:val="both"/>
        <w:rPr>
          <w:bCs w:val="0"/>
          <w:snapToGrid w:val="0"/>
          <w:spacing w:val="0"/>
          <w:kern w:val="2"/>
        </w:rPr>
      </w:pPr>
    </w:p>
    <w:p w:rsidR="001975E2" w:rsidRPr="00A401D4" w:rsidRDefault="00913117" w:rsidP="00EB3B15">
      <w:pPr>
        <w:numPr>
          <w:ilvl w:val="0"/>
          <w:numId w:val="2"/>
        </w:numPr>
        <w:autoSpaceDE w:val="0"/>
        <w:autoSpaceDN w:val="0"/>
        <w:adjustRightInd w:val="0"/>
        <w:ind w:right="98"/>
        <w:jc w:val="both"/>
        <w:rPr>
          <w:spacing w:val="0"/>
          <w:kern w:val="2"/>
        </w:rPr>
      </w:pPr>
      <w:r w:rsidRPr="00A401D4">
        <w:rPr>
          <w:bCs w:val="0"/>
          <w:snapToGrid w:val="0"/>
          <w:spacing w:val="0"/>
          <w:kern w:val="2"/>
        </w:rPr>
        <w:t>Agreement by the subrecipient to cooperate and assist the recipient in collecting data and other information and preparing any reports required by terms of the grant and grant-related requirements</w:t>
      </w:r>
    </w:p>
    <w:p w:rsidR="00913117" w:rsidRPr="00A401D4" w:rsidRDefault="00913117" w:rsidP="00EB3B15">
      <w:pPr>
        <w:widowControl w:val="0"/>
        <w:tabs>
          <w:tab w:val="left" w:pos="-540"/>
        </w:tabs>
        <w:ind w:left="720"/>
        <w:jc w:val="both"/>
        <w:rPr>
          <w:bCs w:val="0"/>
          <w:snapToGrid w:val="0"/>
          <w:spacing w:val="0"/>
          <w:kern w:val="2"/>
        </w:rPr>
      </w:pPr>
    </w:p>
    <w:p w:rsidR="001975E2" w:rsidRPr="00A401D4" w:rsidRDefault="00913117" w:rsidP="00EB3B15">
      <w:pPr>
        <w:numPr>
          <w:ilvl w:val="0"/>
          <w:numId w:val="2"/>
        </w:numPr>
        <w:autoSpaceDE w:val="0"/>
        <w:autoSpaceDN w:val="0"/>
        <w:adjustRightInd w:val="0"/>
        <w:ind w:right="98"/>
        <w:jc w:val="both"/>
        <w:rPr>
          <w:spacing w:val="0"/>
          <w:kern w:val="2"/>
        </w:rPr>
      </w:pPr>
      <w:r w:rsidRPr="00A401D4">
        <w:rPr>
          <w:bCs w:val="0"/>
          <w:snapToGrid w:val="0"/>
          <w:spacing w:val="0"/>
          <w:kern w:val="2"/>
        </w:rPr>
        <w:t>Liability and mutual indemnification</w:t>
      </w:r>
    </w:p>
    <w:p w:rsidR="00913117" w:rsidRPr="00A401D4" w:rsidRDefault="00913117" w:rsidP="00EB3B15">
      <w:pPr>
        <w:widowControl w:val="0"/>
        <w:tabs>
          <w:tab w:val="left" w:pos="-1440"/>
        </w:tabs>
        <w:jc w:val="both"/>
        <w:rPr>
          <w:bCs w:val="0"/>
          <w:snapToGrid w:val="0"/>
          <w:spacing w:val="0"/>
          <w:kern w:val="2"/>
        </w:rPr>
      </w:pPr>
    </w:p>
    <w:p w:rsidR="00E12517" w:rsidRPr="00A401D4" w:rsidRDefault="00AF156E" w:rsidP="00EB3B15">
      <w:pPr>
        <w:numPr>
          <w:ilvl w:val="0"/>
          <w:numId w:val="2"/>
        </w:numPr>
        <w:autoSpaceDE w:val="0"/>
        <w:autoSpaceDN w:val="0"/>
        <w:adjustRightInd w:val="0"/>
        <w:ind w:right="98"/>
        <w:jc w:val="both"/>
        <w:rPr>
          <w:spacing w:val="0"/>
          <w:kern w:val="2"/>
        </w:rPr>
      </w:pPr>
      <w:r w:rsidRPr="00A401D4">
        <w:rPr>
          <w:bCs w:val="0"/>
          <w:snapToGrid w:val="0"/>
          <w:spacing w:val="0"/>
          <w:kern w:val="2"/>
        </w:rPr>
        <w:t>Terms required by f</w:t>
      </w:r>
      <w:r w:rsidR="00913117" w:rsidRPr="00A401D4">
        <w:rPr>
          <w:bCs w:val="0"/>
          <w:snapToGrid w:val="0"/>
          <w:spacing w:val="0"/>
          <w:kern w:val="2"/>
        </w:rPr>
        <w:t>ederal procurement requirements found in 45 C.F.R. Part 7</w:t>
      </w:r>
      <w:r w:rsidR="004918C3" w:rsidRPr="00A401D4">
        <w:rPr>
          <w:bCs w:val="0"/>
          <w:snapToGrid w:val="0"/>
          <w:spacing w:val="0"/>
          <w:kern w:val="2"/>
        </w:rPr>
        <w:t>5</w:t>
      </w:r>
    </w:p>
    <w:p w:rsidR="00913117" w:rsidRPr="00A401D4" w:rsidRDefault="00913117" w:rsidP="00EB3B15">
      <w:pPr>
        <w:widowControl w:val="0"/>
        <w:tabs>
          <w:tab w:val="left" w:pos="-1440"/>
        </w:tabs>
        <w:jc w:val="both"/>
        <w:rPr>
          <w:bCs w:val="0"/>
          <w:snapToGrid w:val="0"/>
          <w:spacing w:val="0"/>
          <w:kern w:val="2"/>
        </w:rPr>
      </w:pPr>
    </w:p>
    <w:p w:rsidR="00E12517" w:rsidRPr="00A401D4" w:rsidRDefault="00913117" w:rsidP="00EB3B15">
      <w:pPr>
        <w:numPr>
          <w:ilvl w:val="0"/>
          <w:numId w:val="2"/>
        </w:numPr>
        <w:autoSpaceDE w:val="0"/>
        <w:autoSpaceDN w:val="0"/>
        <w:adjustRightInd w:val="0"/>
        <w:ind w:right="98"/>
        <w:jc w:val="both"/>
        <w:rPr>
          <w:spacing w:val="0"/>
          <w:kern w:val="2"/>
        </w:rPr>
      </w:pPr>
      <w:r w:rsidRPr="00A401D4">
        <w:rPr>
          <w:bCs w:val="0"/>
          <w:snapToGrid w:val="0"/>
          <w:spacing w:val="0"/>
          <w:kern w:val="2"/>
        </w:rPr>
        <w:t>Term and early termination and/or immediate suspension</w:t>
      </w:r>
    </w:p>
    <w:p w:rsidR="00913117" w:rsidRPr="00A401D4" w:rsidRDefault="00913117" w:rsidP="00EB3B15">
      <w:pPr>
        <w:widowControl w:val="0"/>
        <w:tabs>
          <w:tab w:val="left" w:pos="-1440"/>
        </w:tabs>
        <w:jc w:val="both"/>
        <w:rPr>
          <w:bCs w:val="0"/>
          <w:snapToGrid w:val="0"/>
          <w:spacing w:val="0"/>
          <w:kern w:val="2"/>
        </w:rPr>
      </w:pPr>
    </w:p>
    <w:p w:rsidR="001975E2" w:rsidRPr="00A401D4" w:rsidRDefault="00913117" w:rsidP="00EB3B15">
      <w:pPr>
        <w:numPr>
          <w:ilvl w:val="0"/>
          <w:numId w:val="3"/>
        </w:numPr>
        <w:autoSpaceDE w:val="0"/>
        <w:autoSpaceDN w:val="0"/>
        <w:adjustRightInd w:val="0"/>
        <w:ind w:right="-20"/>
        <w:jc w:val="both"/>
        <w:rPr>
          <w:spacing w:val="0"/>
          <w:kern w:val="2"/>
        </w:rPr>
      </w:pPr>
      <w:r w:rsidRPr="00A401D4">
        <w:rPr>
          <w:bCs w:val="0"/>
          <w:snapToGrid w:val="0"/>
          <w:spacing w:val="0"/>
          <w:kern w:val="2"/>
        </w:rPr>
        <w:t xml:space="preserve">Termination/suspension </w:t>
      </w:r>
      <w:r w:rsidR="00C14857" w:rsidRPr="00A401D4">
        <w:rPr>
          <w:bCs w:val="0"/>
          <w:snapToGrid w:val="0"/>
          <w:spacing w:val="0"/>
          <w:kern w:val="2"/>
        </w:rPr>
        <w:t>for</w:t>
      </w:r>
      <w:r w:rsidRPr="00A401D4">
        <w:rPr>
          <w:bCs w:val="0"/>
          <w:snapToGrid w:val="0"/>
          <w:spacing w:val="0"/>
          <w:kern w:val="2"/>
        </w:rPr>
        <w:t xml:space="preserve"> convenience</w:t>
      </w:r>
    </w:p>
    <w:p w:rsidR="00913117" w:rsidRPr="00A401D4" w:rsidRDefault="00913117" w:rsidP="00EB3B15">
      <w:pPr>
        <w:widowControl w:val="0"/>
        <w:tabs>
          <w:tab w:val="left" w:pos="-1440"/>
        </w:tabs>
        <w:ind w:left="1440" w:right="720"/>
        <w:jc w:val="both"/>
        <w:rPr>
          <w:spacing w:val="0"/>
          <w:kern w:val="2"/>
        </w:rPr>
      </w:pPr>
    </w:p>
    <w:p w:rsidR="001975E2" w:rsidRPr="00A401D4" w:rsidRDefault="00913117" w:rsidP="00EB3B15">
      <w:pPr>
        <w:numPr>
          <w:ilvl w:val="0"/>
          <w:numId w:val="3"/>
        </w:numPr>
        <w:autoSpaceDE w:val="0"/>
        <w:autoSpaceDN w:val="0"/>
        <w:adjustRightInd w:val="0"/>
        <w:ind w:right="-20"/>
        <w:jc w:val="both"/>
        <w:rPr>
          <w:spacing w:val="0"/>
          <w:kern w:val="2"/>
        </w:rPr>
      </w:pPr>
      <w:r w:rsidRPr="00A401D4">
        <w:rPr>
          <w:bCs w:val="0"/>
          <w:snapToGrid w:val="0"/>
          <w:spacing w:val="0"/>
          <w:kern w:val="2"/>
        </w:rPr>
        <w:t>Termination/suspension, by either party, for cause (</w:t>
      </w:r>
      <w:r w:rsidRPr="00A401D4">
        <w:rPr>
          <w:bCs w:val="0"/>
          <w:snapToGrid w:val="0"/>
          <w:spacing w:val="0"/>
          <w:kern w:val="2"/>
          <w:u w:val="single"/>
        </w:rPr>
        <w:t>e.g.</w:t>
      </w:r>
      <w:r w:rsidRPr="00A401D4">
        <w:rPr>
          <w:bCs w:val="0"/>
          <w:snapToGrid w:val="0"/>
          <w:spacing w:val="0"/>
          <w:kern w:val="2"/>
        </w:rPr>
        <w:t>, breach, loss of required insurance, loss or suspension of any licenses necessary to perform, criminal indictment)</w:t>
      </w:r>
      <w:r w:rsidR="001975E2" w:rsidRPr="00A401D4">
        <w:rPr>
          <w:spacing w:val="0"/>
          <w:kern w:val="2"/>
        </w:rPr>
        <w:t xml:space="preserve"> </w:t>
      </w:r>
    </w:p>
    <w:p w:rsidR="00913117" w:rsidRPr="00A401D4" w:rsidRDefault="00913117" w:rsidP="00EB3B15">
      <w:pPr>
        <w:widowControl w:val="0"/>
        <w:tabs>
          <w:tab w:val="left" w:pos="-1440"/>
        </w:tabs>
        <w:ind w:left="1440"/>
        <w:jc w:val="both"/>
        <w:rPr>
          <w:bCs w:val="0"/>
          <w:snapToGrid w:val="0"/>
          <w:spacing w:val="0"/>
          <w:kern w:val="2"/>
        </w:rPr>
      </w:pPr>
    </w:p>
    <w:p w:rsidR="001975E2" w:rsidRPr="00A401D4" w:rsidRDefault="00913117" w:rsidP="00EB3B15">
      <w:pPr>
        <w:numPr>
          <w:ilvl w:val="0"/>
          <w:numId w:val="3"/>
        </w:numPr>
        <w:autoSpaceDE w:val="0"/>
        <w:autoSpaceDN w:val="0"/>
        <w:adjustRightInd w:val="0"/>
        <w:ind w:right="-20"/>
        <w:jc w:val="both"/>
        <w:rPr>
          <w:spacing w:val="0"/>
          <w:kern w:val="2"/>
        </w:rPr>
      </w:pPr>
      <w:r w:rsidRPr="00A401D4">
        <w:rPr>
          <w:bCs w:val="0"/>
          <w:snapToGrid w:val="0"/>
          <w:spacing w:val="0"/>
          <w:kern w:val="2"/>
        </w:rPr>
        <w:t>Termination/suspension, by either party, if the grant funds are terminated, suspended or materially reduced</w:t>
      </w:r>
    </w:p>
    <w:p w:rsidR="00913117" w:rsidRPr="00A401D4" w:rsidRDefault="00913117" w:rsidP="00EB3B15">
      <w:pPr>
        <w:widowControl w:val="0"/>
        <w:tabs>
          <w:tab w:val="left" w:pos="-1440"/>
        </w:tabs>
        <w:jc w:val="both"/>
        <w:rPr>
          <w:bCs w:val="0"/>
          <w:snapToGrid w:val="0"/>
          <w:spacing w:val="0"/>
          <w:kern w:val="2"/>
        </w:rPr>
      </w:pPr>
    </w:p>
    <w:p w:rsidR="00913117" w:rsidRPr="00A401D4" w:rsidRDefault="00913117" w:rsidP="00EB3B15">
      <w:pPr>
        <w:numPr>
          <w:ilvl w:val="0"/>
          <w:numId w:val="3"/>
        </w:numPr>
        <w:autoSpaceDE w:val="0"/>
        <w:autoSpaceDN w:val="0"/>
        <w:adjustRightInd w:val="0"/>
        <w:ind w:right="-20"/>
        <w:jc w:val="both"/>
        <w:rPr>
          <w:spacing w:val="0"/>
          <w:kern w:val="2"/>
        </w:rPr>
      </w:pPr>
      <w:r w:rsidRPr="00A401D4">
        <w:rPr>
          <w:bCs w:val="0"/>
          <w:snapToGrid w:val="0"/>
          <w:spacing w:val="0"/>
          <w:kern w:val="2"/>
        </w:rPr>
        <w:lastRenderedPageBreak/>
        <w:t>Termination/suspension by the recipient if the subrecipient performs in an unsatisfactory manner or inconsistent with grant representations and requirements</w:t>
      </w:r>
    </w:p>
    <w:p w:rsidR="00913117" w:rsidRPr="00A401D4" w:rsidRDefault="00913117" w:rsidP="00EB3B15">
      <w:pPr>
        <w:widowControl w:val="0"/>
        <w:tabs>
          <w:tab w:val="left" w:pos="-1440"/>
        </w:tabs>
        <w:jc w:val="both"/>
        <w:rPr>
          <w:bCs w:val="0"/>
          <w:snapToGrid w:val="0"/>
          <w:spacing w:val="0"/>
          <w:kern w:val="2"/>
        </w:rPr>
      </w:pPr>
    </w:p>
    <w:p w:rsidR="001975E2" w:rsidRPr="00A401D4" w:rsidRDefault="00913117" w:rsidP="00EB3B15">
      <w:pPr>
        <w:numPr>
          <w:ilvl w:val="0"/>
          <w:numId w:val="3"/>
        </w:numPr>
        <w:autoSpaceDE w:val="0"/>
        <w:autoSpaceDN w:val="0"/>
        <w:adjustRightInd w:val="0"/>
        <w:ind w:right="-20"/>
        <w:jc w:val="both"/>
        <w:rPr>
          <w:spacing w:val="0"/>
          <w:kern w:val="2"/>
        </w:rPr>
      </w:pPr>
      <w:r w:rsidRPr="00A401D4">
        <w:rPr>
          <w:bCs w:val="0"/>
          <w:snapToGrid w:val="0"/>
          <w:spacing w:val="0"/>
          <w:kern w:val="2"/>
        </w:rPr>
        <w:t>Termination/suspension by the recipient if the reci</w:t>
      </w:r>
      <w:r w:rsidR="00AF156E" w:rsidRPr="00A401D4">
        <w:rPr>
          <w:bCs w:val="0"/>
          <w:snapToGrid w:val="0"/>
          <w:spacing w:val="0"/>
          <w:kern w:val="2"/>
        </w:rPr>
        <w:t>pient reasonably believes that f</w:t>
      </w:r>
      <w:r w:rsidRPr="00A401D4">
        <w:rPr>
          <w:bCs w:val="0"/>
          <w:snapToGrid w:val="0"/>
          <w:spacing w:val="0"/>
          <w:kern w:val="2"/>
        </w:rPr>
        <w:t xml:space="preserve">ederal funds are being, or will be, </w:t>
      </w:r>
      <w:r w:rsidR="00C14857" w:rsidRPr="00A401D4">
        <w:rPr>
          <w:bCs w:val="0"/>
          <w:snapToGrid w:val="0"/>
          <w:spacing w:val="0"/>
          <w:kern w:val="2"/>
        </w:rPr>
        <w:t>used for other than their intended purposes</w:t>
      </w:r>
    </w:p>
    <w:p w:rsidR="007D6BCD" w:rsidRPr="00A401D4" w:rsidRDefault="007D6BCD" w:rsidP="00EB3B15">
      <w:pPr>
        <w:widowControl w:val="0"/>
        <w:tabs>
          <w:tab w:val="left" w:pos="-1440"/>
        </w:tabs>
        <w:ind w:left="1440"/>
        <w:jc w:val="both"/>
        <w:rPr>
          <w:bCs w:val="0"/>
          <w:snapToGrid w:val="0"/>
          <w:spacing w:val="0"/>
          <w:kern w:val="2"/>
        </w:rPr>
      </w:pPr>
    </w:p>
    <w:p w:rsidR="001975E2" w:rsidRPr="00A401D4" w:rsidRDefault="00913117" w:rsidP="00EB3B15">
      <w:pPr>
        <w:numPr>
          <w:ilvl w:val="0"/>
          <w:numId w:val="3"/>
        </w:numPr>
        <w:autoSpaceDE w:val="0"/>
        <w:autoSpaceDN w:val="0"/>
        <w:adjustRightInd w:val="0"/>
        <w:ind w:right="-20"/>
        <w:jc w:val="both"/>
        <w:rPr>
          <w:spacing w:val="0"/>
          <w:kern w:val="2"/>
        </w:rPr>
      </w:pPr>
      <w:r w:rsidRPr="00A401D4">
        <w:rPr>
          <w:bCs w:val="0"/>
          <w:snapToGrid w:val="0"/>
          <w:spacing w:val="0"/>
          <w:kern w:val="2"/>
        </w:rPr>
        <w:t>Other contracting terms common to procu</w:t>
      </w:r>
      <w:r w:rsidR="00555690" w:rsidRPr="00A401D4">
        <w:rPr>
          <w:bCs w:val="0"/>
          <w:snapToGrid w:val="0"/>
          <w:spacing w:val="0"/>
          <w:kern w:val="2"/>
        </w:rPr>
        <w:t>rement contracts</w:t>
      </w:r>
      <w:r w:rsidR="00E4704C" w:rsidRPr="00A401D4">
        <w:rPr>
          <w:bCs w:val="0"/>
          <w:snapToGrid w:val="0"/>
          <w:spacing w:val="0"/>
          <w:kern w:val="2"/>
        </w:rPr>
        <w:t xml:space="preserve"> </w:t>
      </w:r>
      <w:r w:rsidR="00555690" w:rsidRPr="00A401D4">
        <w:rPr>
          <w:bCs w:val="0"/>
          <w:snapToGrid w:val="0"/>
          <w:spacing w:val="0"/>
          <w:kern w:val="2"/>
        </w:rPr>
        <w:t>(</w:t>
      </w:r>
      <w:r w:rsidR="00D324A6" w:rsidRPr="00A401D4">
        <w:rPr>
          <w:bCs w:val="0"/>
          <w:snapToGrid w:val="0"/>
          <w:spacing w:val="0"/>
          <w:kern w:val="2"/>
          <w:u w:val="single"/>
        </w:rPr>
        <w:t>See</w:t>
      </w:r>
      <w:r w:rsidR="00E4704C" w:rsidRPr="00A401D4">
        <w:rPr>
          <w:bCs w:val="0"/>
          <w:snapToGrid w:val="0"/>
          <w:spacing w:val="0"/>
          <w:kern w:val="2"/>
        </w:rPr>
        <w:t xml:space="preserve"> </w:t>
      </w:r>
      <w:hyperlink r:id="rId9" w:history="1">
        <w:r w:rsidR="00DF70CB" w:rsidRPr="00A401D4">
          <w:rPr>
            <w:rStyle w:val="Hyperlink"/>
            <w:bCs w:val="0"/>
            <w:snapToGrid w:val="0"/>
            <w:spacing w:val="0"/>
            <w:kern w:val="2"/>
          </w:rPr>
          <w:t>Federal procurement requirements: Introductory guidance</w:t>
        </w:r>
      </w:hyperlink>
      <w:r w:rsidR="00DF70CB" w:rsidRPr="00A401D4">
        <w:rPr>
          <w:bCs w:val="0"/>
          <w:snapToGrid w:val="0"/>
          <w:spacing w:val="0"/>
          <w:kern w:val="2"/>
        </w:rPr>
        <w:t>)</w:t>
      </w:r>
      <w:r w:rsidR="001975E2" w:rsidRPr="00A401D4">
        <w:rPr>
          <w:spacing w:val="0"/>
          <w:kern w:val="2"/>
        </w:rPr>
        <w:t xml:space="preserve"> </w:t>
      </w:r>
    </w:p>
    <w:p w:rsidR="00E6379B" w:rsidRPr="00A401D4" w:rsidRDefault="00E6379B" w:rsidP="00EB3B15">
      <w:pPr>
        <w:widowControl w:val="0"/>
        <w:tabs>
          <w:tab w:val="left" w:pos="-1440"/>
        </w:tabs>
        <w:ind w:left="1440"/>
        <w:jc w:val="both"/>
        <w:rPr>
          <w:bCs w:val="0"/>
          <w:snapToGrid w:val="0"/>
          <w:spacing w:val="0"/>
          <w:kern w:val="2"/>
        </w:rPr>
      </w:pPr>
    </w:p>
    <w:p w:rsidR="001975E2" w:rsidRPr="00A401D4" w:rsidRDefault="00E6379B" w:rsidP="00EB3B15">
      <w:pPr>
        <w:numPr>
          <w:ilvl w:val="0"/>
          <w:numId w:val="3"/>
        </w:numPr>
        <w:autoSpaceDE w:val="0"/>
        <w:autoSpaceDN w:val="0"/>
        <w:adjustRightInd w:val="0"/>
        <w:ind w:right="-20"/>
        <w:jc w:val="both"/>
        <w:rPr>
          <w:spacing w:val="0"/>
          <w:kern w:val="2"/>
        </w:rPr>
      </w:pPr>
      <w:r w:rsidRPr="00A401D4">
        <w:rPr>
          <w:bCs w:val="0"/>
          <w:snapToGrid w:val="0"/>
          <w:spacing w:val="0"/>
          <w:kern w:val="2"/>
        </w:rPr>
        <w:t xml:space="preserve">Terms relating to compliance with </w:t>
      </w:r>
      <w:r w:rsidR="00453ACA" w:rsidRPr="00A401D4">
        <w:rPr>
          <w:bCs w:val="0"/>
          <w:snapToGrid w:val="0"/>
          <w:spacing w:val="0"/>
          <w:kern w:val="2"/>
        </w:rPr>
        <w:t>laws applicable to federal programs (</w:t>
      </w:r>
      <w:r w:rsidR="00453ACA" w:rsidRPr="00A401D4">
        <w:rPr>
          <w:bCs w:val="0"/>
          <w:snapToGrid w:val="0"/>
          <w:spacing w:val="0"/>
          <w:kern w:val="2"/>
          <w:u w:val="single"/>
        </w:rPr>
        <w:t>e.g.</w:t>
      </w:r>
      <w:r w:rsidR="00453ACA" w:rsidRPr="00A401D4">
        <w:rPr>
          <w:bCs w:val="0"/>
          <w:snapToGrid w:val="0"/>
          <w:spacing w:val="0"/>
          <w:kern w:val="2"/>
        </w:rPr>
        <w:t xml:space="preserve">, Title VI of the Civil Rights Act of 1964, </w:t>
      </w:r>
      <w:r w:rsidR="00D612C8" w:rsidRPr="00A401D4">
        <w:rPr>
          <w:bCs w:val="0"/>
          <w:snapToGrid w:val="0"/>
          <w:spacing w:val="0"/>
          <w:kern w:val="2"/>
        </w:rPr>
        <w:t>Davis-Bacon Act, Uniform Relocation Assistance and Real Property Acquisition Act of 1970)</w:t>
      </w:r>
      <w:r w:rsidR="001975E2" w:rsidRPr="00A401D4">
        <w:rPr>
          <w:spacing w:val="0"/>
          <w:kern w:val="2"/>
        </w:rPr>
        <w:t xml:space="preserve"> </w:t>
      </w:r>
    </w:p>
    <w:p w:rsidR="00E6379B" w:rsidRPr="00A401D4" w:rsidRDefault="00E6379B" w:rsidP="00EB3B15">
      <w:pPr>
        <w:widowControl w:val="0"/>
        <w:tabs>
          <w:tab w:val="left" w:pos="-1440"/>
        </w:tabs>
        <w:ind w:left="1440"/>
        <w:jc w:val="both"/>
        <w:rPr>
          <w:bCs w:val="0"/>
          <w:snapToGrid w:val="0"/>
          <w:spacing w:val="0"/>
          <w:kern w:val="2"/>
        </w:rPr>
      </w:pPr>
    </w:p>
    <w:sectPr w:rsidR="00E6379B" w:rsidRPr="00A401D4" w:rsidSect="00B71E63">
      <w:headerReference w:type="default" r:id="rId10"/>
      <w:footerReference w:type="default" r:id="rId11"/>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4A6" w:rsidRDefault="00D324A6" w:rsidP="00D324A6">
      <w:r>
        <w:separator/>
      </w:r>
    </w:p>
  </w:endnote>
  <w:endnote w:type="continuationSeparator" w:id="0">
    <w:p w:rsidR="00D324A6" w:rsidRDefault="00D324A6" w:rsidP="00D3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A6" w:rsidRPr="00470A9C" w:rsidRDefault="00D324A6" w:rsidP="00297C52">
    <w:pPr>
      <w:pBdr>
        <w:bottom w:val="single" w:sz="12" w:space="1" w:color="auto"/>
      </w:pBdr>
      <w:rPr>
        <w:rFonts w:eastAsiaTheme="minorHAnsi" w:cstheme="minorBidi"/>
        <w:bCs w:val="0"/>
        <w:spacing w:val="0"/>
        <w:sz w:val="20"/>
        <w:szCs w:val="20"/>
      </w:rPr>
    </w:pPr>
  </w:p>
  <w:p w:rsidR="00D324A6" w:rsidRPr="00470A9C" w:rsidRDefault="00D324A6" w:rsidP="00D324A6">
    <w:pPr>
      <w:tabs>
        <w:tab w:val="left" w:pos="2340"/>
      </w:tabs>
      <w:jc w:val="center"/>
      <w:rPr>
        <w:rFonts w:eastAsiaTheme="minorHAnsi" w:cstheme="minorBidi"/>
        <w:bCs w:val="0"/>
        <w:spacing w:val="0"/>
        <w:sz w:val="20"/>
        <w:szCs w:val="20"/>
      </w:rPr>
    </w:pPr>
  </w:p>
  <w:p w:rsidR="00D324A6" w:rsidRPr="00470A9C" w:rsidRDefault="007D6BCD" w:rsidP="00D324A6">
    <w:pPr>
      <w:tabs>
        <w:tab w:val="left" w:pos="2340"/>
      </w:tabs>
      <w:jc w:val="center"/>
      <w:rPr>
        <w:rFonts w:eastAsiaTheme="minorHAnsi" w:cstheme="minorBidi"/>
        <w:bCs w:val="0"/>
        <w:spacing w:val="0"/>
        <w:sz w:val="20"/>
        <w:szCs w:val="20"/>
      </w:rPr>
    </w:pPr>
    <w:r>
      <w:rPr>
        <w:rFonts w:eastAsiaTheme="minorHAnsi" w:cstheme="minorBidi"/>
        <w:bCs w:val="0"/>
        <w:spacing w:val="0"/>
        <w:sz w:val="20"/>
        <w:szCs w:val="20"/>
      </w:rPr>
      <w:t xml:space="preserve">The </w:t>
    </w:r>
    <w:r w:rsidR="00D607F4">
      <w:rPr>
        <w:rFonts w:eastAsiaTheme="minorHAnsi" w:cstheme="minorBidi"/>
        <w:bCs w:val="0"/>
        <w:spacing w:val="0"/>
        <w:sz w:val="20"/>
        <w:szCs w:val="20"/>
      </w:rPr>
      <w:t xml:space="preserve">Corporate </w:t>
    </w:r>
    <w:r w:rsidR="00D324A6" w:rsidRPr="00470A9C">
      <w:rPr>
        <w:rFonts w:eastAsiaTheme="minorHAnsi" w:cstheme="minorBidi"/>
        <w:bCs w:val="0"/>
        <w:spacing w:val="0"/>
        <w:sz w:val="20"/>
        <w:szCs w:val="20"/>
      </w:rPr>
      <w:t>Compliance Toolkit</w:t>
    </w:r>
    <w:r w:rsidR="00DD277C">
      <w:rPr>
        <w:rFonts w:eastAsiaTheme="minorHAnsi" w:cstheme="minorBidi"/>
        <w:bCs w:val="0"/>
        <w:spacing w:val="0"/>
        <w:sz w:val="20"/>
        <w:szCs w:val="20"/>
      </w:rPr>
      <w:t xml:space="preserve"> for PCA</w:t>
    </w:r>
    <w:r w:rsidR="00D607F4">
      <w:rPr>
        <w:rFonts w:eastAsiaTheme="minorHAnsi" w:cstheme="minorBidi"/>
        <w:bCs w:val="0"/>
        <w:spacing w:val="0"/>
        <w:sz w:val="20"/>
        <w:szCs w:val="20"/>
      </w:rPr>
      <w:t>s</w:t>
    </w:r>
    <w:r w:rsidR="00DD277C">
      <w:rPr>
        <w:rFonts w:eastAsiaTheme="minorHAnsi" w:cstheme="minorBidi"/>
        <w:bCs w:val="0"/>
        <w:spacing w:val="0"/>
        <w:sz w:val="20"/>
        <w:szCs w:val="20"/>
      </w:rPr>
      <w:t>-HCCNs</w:t>
    </w:r>
  </w:p>
  <w:p w:rsidR="00D324A6" w:rsidRPr="00470A9C" w:rsidRDefault="00D324A6" w:rsidP="00D324A6">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lang w:val="de-DE"/>
      </w:rPr>
      <w:t>© 201</w:t>
    </w:r>
    <w:r w:rsidR="006F6002">
      <w:rPr>
        <w:rFonts w:eastAsiaTheme="minorHAnsi" w:cstheme="minorBidi"/>
        <w:bCs w:val="0"/>
        <w:spacing w:val="0"/>
        <w:sz w:val="20"/>
        <w:szCs w:val="20"/>
        <w:lang w:val="de-DE"/>
      </w:rPr>
      <w:t>5</w:t>
    </w:r>
    <w:r w:rsidRPr="00470A9C">
      <w:rPr>
        <w:rFonts w:eastAsiaTheme="minorHAnsi" w:cstheme="minorBidi"/>
        <w:bCs w:val="0"/>
        <w:spacing w:val="0"/>
        <w:sz w:val="20"/>
        <w:szCs w:val="20"/>
        <w:lang w:val="de-DE"/>
      </w:rPr>
      <w:t xml:space="preserve"> </w:t>
    </w:r>
    <w:r w:rsidRPr="00470A9C">
      <w:rPr>
        <w:rFonts w:eastAsiaTheme="minorHAnsi" w:cstheme="minorBidi"/>
        <w:bCs w:val="0"/>
        <w:spacing w:val="0"/>
        <w:sz w:val="20"/>
        <w:szCs w:val="20"/>
      </w:rPr>
      <w:t>National Association of Community Health Centers, Inc.</w:t>
    </w:r>
  </w:p>
  <w:p w:rsidR="00D324A6" w:rsidRPr="00470A9C" w:rsidRDefault="00D324A6" w:rsidP="00D324A6">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lang w:val="de-DE"/>
      </w:rPr>
      <w:t>and Feldesman Tucker Leifer Fidell LLP</w:t>
    </w:r>
  </w:p>
  <w:p w:rsidR="00D324A6" w:rsidRPr="00470A9C" w:rsidRDefault="00D324A6" w:rsidP="00D324A6">
    <w:pPr>
      <w:tabs>
        <w:tab w:val="left" w:pos="2340"/>
      </w:tabs>
      <w:jc w:val="center"/>
      <w:rPr>
        <w:rFonts w:eastAsiaTheme="minorHAnsi" w:cstheme="minorBidi"/>
        <w:bCs w:val="0"/>
        <w:spacing w:val="0"/>
        <w:sz w:val="20"/>
        <w:szCs w:val="20"/>
      </w:rPr>
    </w:pPr>
  </w:p>
  <w:p w:rsidR="00D324A6" w:rsidRPr="00D324A6" w:rsidRDefault="00D324A6" w:rsidP="00D324A6">
    <w:pPr>
      <w:tabs>
        <w:tab w:val="left" w:pos="2340"/>
      </w:tabs>
      <w:jc w:val="center"/>
      <w:rPr>
        <w:rFonts w:eastAsiaTheme="minorHAnsi" w:cstheme="minorBidi"/>
        <w:bCs w:val="0"/>
        <w:spacing w:val="0"/>
        <w:sz w:val="20"/>
        <w:szCs w:val="20"/>
        <w:lang w:val="de-DE"/>
      </w:rPr>
    </w:pPr>
    <w:r w:rsidRPr="00470A9C">
      <w:rPr>
        <w:rFonts w:eastAsiaTheme="minorHAnsi" w:cstheme="minorBidi"/>
        <w:bCs w:val="0"/>
        <w:spacing w:val="0"/>
        <w:sz w:val="20"/>
        <w:szCs w:val="20"/>
      </w:rPr>
      <w:fldChar w:fldCharType="begin"/>
    </w:r>
    <w:r w:rsidRPr="00470A9C">
      <w:rPr>
        <w:rFonts w:eastAsiaTheme="minorHAnsi" w:cstheme="minorBidi"/>
        <w:bCs w:val="0"/>
        <w:spacing w:val="0"/>
        <w:sz w:val="20"/>
        <w:szCs w:val="20"/>
      </w:rPr>
      <w:instrText xml:space="preserve"> PAGE </w:instrText>
    </w:r>
    <w:r w:rsidRPr="00470A9C">
      <w:rPr>
        <w:rFonts w:eastAsiaTheme="minorHAnsi" w:cstheme="minorBidi"/>
        <w:bCs w:val="0"/>
        <w:spacing w:val="0"/>
        <w:sz w:val="20"/>
        <w:szCs w:val="20"/>
      </w:rPr>
      <w:fldChar w:fldCharType="separate"/>
    </w:r>
    <w:r w:rsidR="004108ED">
      <w:rPr>
        <w:rFonts w:eastAsiaTheme="minorHAnsi" w:cstheme="minorBidi"/>
        <w:bCs w:val="0"/>
        <w:noProof/>
        <w:spacing w:val="0"/>
        <w:sz w:val="20"/>
        <w:szCs w:val="20"/>
      </w:rPr>
      <w:t>2</w:t>
    </w:r>
    <w:r w:rsidRPr="00470A9C">
      <w:rPr>
        <w:rFonts w:eastAsiaTheme="minorHAnsi" w:cstheme="minorBidi"/>
        <w:bCs w:val="0"/>
        <w:spacing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4A6" w:rsidRDefault="00D324A6" w:rsidP="00D324A6">
      <w:r>
        <w:separator/>
      </w:r>
    </w:p>
  </w:footnote>
  <w:footnote w:type="continuationSeparator" w:id="0">
    <w:p w:rsidR="00D324A6" w:rsidRDefault="00D324A6" w:rsidP="00D324A6">
      <w:r>
        <w:continuationSeparator/>
      </w:r>
    </w:p>
  </w:footnote>
  <w:footnote w:id="1">
    <w:p w:rsidR="00460265" w:rsidRPr="00E12517" w:rsidRDefault="00460265" w:rsidP="00E12517">
      <w:pPr>
        <w:ind w:left="360" w:hanging="360"/>
        <w:rPr>
          <w:color w:val="000000"/>
          <w:sz w:val="20"/>
          <w:szCs w:val="20"/>
        </w:rPr>
      </w:pPr>
      <w:r w:rsidRPr="00E12517">
        <w:rPr>
          <w:rStyle w:val="FootnoteReference"/>
          <w:sz w:val="20"/>
          <w:szCs w:val="20"/>
        </w:rPr>
        <w:footnoteRef/>
      </w:r>
      <w:r w:rsidRPr="00E12517">
        <w:rPr>
          <w:sz w:val="20"/>
          <w:szCs w:val="20"/>
        </w:rPr>
        <w:t xml:space="preserve"> </w:t>
      </w:r>
      <w:r w:rsidR="00E12517">
        <w:rPr>
          <w:sz w:val="20"/>
          <w:szCs w:val="20"/>
        </w:rPr>
        <w:tab/>
      </w:r>
      <w:r w:rsidRPr="00EB3B15">
        <w:rPr>
          <w:color w:val="000000"/>
          <w:spacing w:val="0"/>
          <w:sz w:val="20"/>
          <w:szCs w:val="20"/>
        </w:rPr>
        <w:t>The Authors of these materials include attorneys at the law firm of Feldesman Tucker Leifer Fidell LLP. The advice and recommendations consist of general guidance based on federal law and regulati</w:t>
      </w:r>
      <w:r w:rsidR="007D6BCD" w:rsidRPr="00EB3B15">
        <w:rPr>
          <w:color w:val="000000"/>
          <w:spacing w:val="0"/>
          <w:sz w:val="20"/>
          <w:szCs w:val="20"/>
        </w:rPr>
        <w:t>ons</w:t>
      </w:r>
      <w:r w:rsidRPr="00EB3B15">
        <w:rPr>
          <w:color w:val="000000"/>
          <w:spacing w:val="0"/>
          <w:sz w:val="20"/>
          <w:szCs w:val="20"/>
        </w:rPr>
        <w:t xml:space="preserve"> and do not necessarily apply to all </w:t>
      </w:r>
      <w:r w:rsidR="00DD277C" w:rsidRPr="00EB3B15">
        <w:rPr>
          <w:color w:val="000000"/>
          <w:spacing w:val="0"/>
          <w:sz w:val="20"/>
          <w:szCs w:val="20"/>
        </w:rPr>
        <w:t>PCAs-HCCN</w:t>
      </w:r>
      <w:r w:rsidR="00E6379B" w:rsidRPr="00EB3B15">
        <w:rPr>
          <w:color w:val="000000"/>
          <w:spacing w:val="0"/>
          <w:sz w:val="20"/>
          <w:szCs w:val="20"/>
        </w:rPr>
        <w:t>s</w:t>
      </w:r>
      <w:r w:rsidRPr="00EB3B15">
        <w:rPr>
          <w:color w:val="000000"/>
          <w:spacing w:val="0"/>
          <w:sz w:val="20"/>
          <w:szCs w:val="20"/>
        </w:rPr>
        <w:t xml:space="preserve"> under all facts and circumstances. Further, these materials do not replace, and are not a substitute for, legal advice from qualified legal counsel.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4A6" w:rsidRPr="00EB3B15" w:rsidRDefault="00D324A6" w:rsidP="00D324A6">
    <w:pPr>
      <w:jc w:val="center"/>
      <w:rPr>
        <w:spacing w:val="0"/>
        <w:sz w:val="20"/>
      </w:rPr>
    </w:pPr>
    <w:r w:rsidRPr="00EB3B15">
      <w:rPr>
        <w:spacing w:val="0"/>
        <w:sz w:val="20"/>
      </w:rPr>
      <w:t xml:space="preserve">Volume II: </w:t>
    </w:r>
    <w:r w:rsidR="00191B27" w:rsidRPr="00EB3B15">
      <w:rPr>
        <w:spacing w:val="0"/>
        <w:sz w:val="20"/>
      </w:rPr>
      <w:t xml:space="preserve"> </w:t>
    </w:r>
    <w:r w:rsidR="00DD277C" w:rsidRPr="00EB3B15">
      <w:rPr>
        <w:spacing w:val="0"/>
        <w:sz w:val="20"/>
      </w:rPr>
      <w:t>PCA-HCCN Risk</w:t>
    </w:r>
    <w:r w:rsidRPr="00EB3B15">
      <w:rPr>
        <w:spacing w:val="0"/>
        <w:sz w:val="20"/>
      </w:rPr>
      <w:t xml:space="preserve"> Areas</w:t>
    </w:r>
  </w:p>
  <w:p w:rsidR="00D324A6" w:rsidRDefault="00D324A6" w:rsidP="00297C52">
    <w:pPr>
      <w:jc w:val="center"/>
      <w:rPr>
        <w:sz w:val="20"/>
      </w:rPr>
    </w:pPr>
    <w:r w:rsidRPr="00EB3B15">
      <w:rPr>
        <w:spacing w:val="0"/>
        <w:sz w:val="20"/>
      </w:rPr>
      <w:t>Federal Grants Management</w:t>
    </w:r>
  </w:p>
  <w:p w:rsidR="00D324A6" w:rsidRPr="00F354EE" w:rsidRDefault="00D324A6" w:rsidP="00297C52">
    <w:pPr>
      <w:pBdr>
        <w:bottom w:val="single" w:sz="12" w:space="1" w:color="auto"/>
      </w:pBdr>
      <w:jc w:val="center"/>
      <w:rPr>
        <w:sz w:val="20"/>
      </w:rPr>
    </w:pPr>
  </w:p>
  <w:p w:rsidR="00D324A6" w:rsidRDefault="00D324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0A531E"/>
    <w:multiLevelType w:val="hybridMultilevel"/>
    <w:tmpl w:val="CD40B1E0"/>
    <w:lvl w:ilvl="0" w:tplc="999ED4C4">
      <w:numFmt w:val="bullet"/>
      <w:lvlText w:val=""/>
      <w:lvlJc w:val="left"/>
      <w:pPr>
        <w:tabs>
          <w:tab w:val="num" w:pos="880"/>
        </w:tabs>
        <w:ind w:left="880" w:hanging="360"/>
      </w:pPr>
      <w:rPr>
        <w:rFonts w:ascii="Wingdings" w:eastAsia="Times New Roman" w:hAnsi="Wingdings" w:cs="Wingdings" w:hint="default"/>
      </w:rPr>
    </w:lvl>
    <w:lvl w:ilvl="1" w:tplc="04090003" w:tentative="1">
      <w:start w:val="1"/>
      <w:numFmt w:val="bullet"/>
      <w:lvlText w:val="o"/>
      <w:lvlJc w:val="left"/>
      <w:pPr>
        <w:tabs>
          <w:tab w:val="num" w:pos="1600"/>
        </w:tabs>
        <w:ind w:left="1600" w:hanging="360"/>
      </w:pPr>
      <w:rPr>
        <w:rFonts w:ascii="Courier New" w:hAnsi="Courier New" w:cs="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cs="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cs="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2">
    <w:nsid w:val="3566530B"/>
    <w:multiLevelType w:val="hybridMultilevel"/>
    <w:tmpl w:val="2A6CEA86"/>
    <w:lvl w:ilvl="0" w:tplc="999ED4C4">
      <w:numFmt w:val="bullet"/>
      <w:lvlText w:val=""/>
      <w:lvlJc w:val="left"/>
      <w:pPr>
        <w:ind w:left="1600" w:hanging="360"/>
      </w:pPr>
      <w:rPr>
        <w:rFonts w:ascii="Wingdings" w:eastAsia="Times New Roman" w:hAnsi="Wingdings" w:cs="Wingdings"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99"/>
    <w:rsid w:val="0000738F"/>
    <w:rsid w:val="00056727"/>
    <w:rsid w:val="000B4285"/>
    <w:rsid w:val="000F683F"/>
    <w:rsid w:val="00101D14"/>
    <w:rsid w:val="00134243"/>
    <w:rsid w:val="00166CF2"/>
    <w:rsid w:val="00186080"/>
    <w:rsid w:val="00191B27"/>
    <w:rsid w:val="001975E2"/>
    <w:rsid w:val="001E1F50"/>
    <w:rsid w:val="00203CBA"/>
    <w:rsid w:val="00204651"/>
    <w:rsid w:val="00235692"/>
    <w:rsid w:val="00235D7B"/>
    <w:rsid w:val="00297C52"/>
    <w:rsid w:val="002D73EB"/>
    <w:rsid w:val="00324D3D"/>
    <w:rsid w:val="00352669"/>
    <w:rsid w:val="0036018B"/>
    <w:rsid w:val="003B200C"/>
    <w:rsid w:val="00402749"/>
    <w:rsid w:val="004108ED"/>
    <w:rsid w:val="00425550"/>
    <w:rsid w:val="00453ACA"/>
    <w:rsid w:val="00460265"/>
    <w:rsid w:val="004918C3"/>
    <w:rsid w:val="005436F0"/>
    <w:rsid w:val="00555690"/>
    <w:rsid w:val="00565E68"/>
    <w:rsid w:val="00575BCC"/>
    <w:rsid w:val="005C0006"/>
    <w:rsid w:val="005C133D"/>
    <w:rsid w:val="005F1106"/>
    <w:rsid w:val="006B17FF"/>
    <w:rsid w:val="006F6002"/>
    <w:rsid w:val="00734FCA"/>
    <w:rsid w:val="007625CD"/>
    <w:rsid w:val="007D6BCD"/>
    <w:rsid w:val="007F6206"/>
    <w:rsid w:val="00812D59"/>
    <w:rsid w:val="008A7438"/>
    <w:rsid w:val="008C19B6"/>
    <w:rsid w:val="00913117"/>
    <w:rsid w:val="00914D44"/>
    <w:rsid w:val="00920444"/>
    <w:rsid w:val="00947EDD"/>
    <w:rsid w:val="00957401"/>
    <w:rsid w:val="00965BC4"/>
    <w:rsid w:val="00997495"/>
    <w:rsid w:val="00A401D4"/>
    <w:rsid w:val="00AF156E"/>
    <w:rsid w:val="00B30044"/>
    <w:rsid w:val="00B71E63"/>
    <w:rsid w:val="00BD23E9"/>
    <w:rsid w:val="00C14857"/>
    <w:rsid w:val="00C14B49"/>
    <w:rsid w:val="00C2392B"/>
    <w:rsid w:val="00C50A99"/>
    <w:rsid w:val="00CA2807"/>
    <w:rsid w:val="00D02674"/>
    <w:rsid w:val="00D23F01"/>
    <w:rsid w:val="00D324A6"/>
    <w:rsid w:val="00D4352D"/>
    <w:rsid w:val="00D503B5"/>
    <w:rsid w:val="00D607F4"/>
    <w:rsid w:val="00D612C8"/>
    <w:rsid w:val="00DA5DD4"/>
    <w:rsid w:val="00DB2F67"/>
    <w:rsid w:val="00DD277C"/>
    <w:rsid w:val="00DF70CB"/>
    <w:rsid w:val="00E12517"/>
    <w:rsid w:val="00E30961"/>
    <w:rsid w:val="00E4704C"/>
    <w:rsid w:val="00E6379B"/>
    <w:rsid w:val="00E638FD"/>
    <w:rsid w:val="00EB3B15"/>
    <w:rsid w:val="00FB4A1B"/>
    <w:rsid w:val="00FF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99"/>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customStyle="1" w:styleId="Level1">
    <w:name w:val="Level 1"/>
    <w:basedOn w:val="Normal"/>
    <w:rsid w:val="00C50A99"/>
    <w:pPr>
      <w:widowControl w:val="0"/>
      <w:ind w:left="720" w:hanging="720"/>
    </w:pPr>
    <w:rPr>
      <w:bCs w:val="0"/>
      <w:snapToGrid w:val="0"/>
      <w:spacing w:val="0"/>
      <w:szCs w:val="20"/>
    </w:rPr>
  </w:style>
  <w:style w:type="paragraph" w:styleId="Title">
    <w:name w:val="Title"/>
    <w:basedOn w:val="Normal"/>
    <w:link w:val="TitleChar"/>
    <w:qFormat/>
    <w:rsid w:val="00C50A99"/>
    <w:pPr>
      <w:jc w:val="center"/>
    </w:pPr>
    <w:rPr>
      <w:rFonts w:ascii="Arial" w:hAnsi="Arial"/>
      <w:b/>
      <w:spacing w:val="0"/>
      <w:sz w:val="22"/>
      <w:szCs w:val="20"/>
    </w:rPr>
  </w:style>
  <w:style w:type="character" w:customStyle="1" w:styleId="TitleChar">
    <w:name w:val="Title Char"/>
    <w:basedOn w:val="DefaultParagraphFont"/>
    <w:link w:val="Title"/>
    <w:rsid w:val="00C50A99"/>
    <w:rPr>
      <w:rFonts w:ascii="Arial" w:eastAsia="Times New Roman" w:hAnsi="Arial" w:cs="Times New Roman"/>
      <w:b/>
      <w:bCs/>
      <w:szCs w:val="20"/>
    </w:rPr>
  </w:style>
  <w:style w:type="paragraph" w:styleId="BodyTextIndent3">
    <w:name w:val="Body Text Indent 3"/>
    <w:basedOn w:val="Normal"/>
    <w:link w:val="BodyTextIndent3Char"/>
    <w:rsid w:val="00C50A99"/>
    <w:pPr>
      <w:ind w:right="720" w:firstLine="720"/>
    </w:pPr>
    <w:rPr>
      <w:i/>
    </w:rPr>
  </w:style>
  <w:style w:type="character" w:customStyle="1" w:styleId="BodyTextIndent3Char">
    <w:name w:val="Body Text Indent 3 Char"/>
    <w:basedOn w:val="DefaultParagraphFont"/>
    <w:link w:val="BodyTextIndent3"/>
    <w:rsid w:val="00C50A99"/>
    <w:rPr>
      <w:rFonts w:ascii="Times New Roman" w:eastAsia="Times New Roman" w:hAnsi="Times New Roman" w:cs="Times New Roman"/>
      <w:bCs/>
      <w:i/>
      <w:spacing w:val="-3"/>
      <w:sz w:val="24"/>
      <w:szCs w:val="24"/>
    </w:rPr>
  </w:style>
  <w:style w:type="paragraph" w:styleId="Header">
    <w:name w:val="header"/>
    <w:basedOn w:val="Normal"/>
    <w:link w:val="HeaderChar"/>
    <w:uiPriority w:val="99"/>
    <w:unhideWhenUsed/>
    <w:rsid w:val="00D324A6"/>
    <w:pPr>
      <w:tabs>
        <w:tab w:val="center" w:pos="4680"/>
        <w:tab w:val="right" w:pos="9360"/>
      </w:tabs>
    </w:pPr>
  </w:style>
  <w:style w:type="character" w:customStyle="1" w:styleId="HeaderChar">
    <w:name w:val="Header Char"/>
    <w:basedOn w:val="DefaultParagraphFont"/>
    <w:link w:val="Header"/>
    <w:uiPriority w:val="99"/>
    <w:rsid w:val="00D324A6"/>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D324A6"/>
    <w:pPr>
      <w:tabs>
        <w:tab w:val="center" w:pos="4680"/>
        <w:tab w:val="right" w:pos="9360"/>
      </w:tabs>
    </w:pPr>
  </w:style>
  <w:style w:type="character" w:customStyle="1" w:styleId="FooterChar">
    <w:name w:val="Footer Char"/>
    <w:basedOn w:val="DefaultParagraphFont"/>
    <w:link w:val="Footer"/>
    <w:uiPriority w:val="99"/>
    <w:rsid w:val="00D324A6"/>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D324A6"/>
    <w:rPr>
      <w:rFonts w:ascii="Tahoma" w:hAnsi="Tahoma" w:cs="Tahoma"/>
      <w:sz w:val="16"/>
      <w:szCs w:val="16"/>
    </w:rPr>
  </w:style>
  <w:style w:type="character" w:customStyle="1" w:styleId="BalloonTextChar">
    <w:name w:val="Balloon Text Char"/>
    <w:basedOn w:val="DefaultParagraphFont"/>
    <w:link w:val="BalloonText"/>
    <w:uiPriority w:val="99"/>
    <w:semiHidden/>
    <w:rsid w:val="00D324A6"/>
    <w:rPr>
      <w:rFonts w:ascii="Tahoma" w:eastAsia="Times New Roman" w:hAnsi="Tahoma" w:cs="Tahoma"/>
      <w:bCs/>
      <w:spacing w:val="-3"/>
      <w:sz w:val="16"/>
      <w:szCs w:val="16"/>
    </w:rPr>
  </w:style>
  <w:style w:type="character" w:styleId="Hyperlink">
    <w:name w:val="Hyperlink"/>
    <w:basedOn w:val="DefaultParagraphFont"/>
    <w:uiPriority w:val="99"/>
    <w:unhideWhenUsed/>
    <w:rsid w:val="00E4704C"/>
    <w:rPr>
      <w:color w:val="0000FF" w:themeColor="hyperlink"/>
      <w:u w:val="single"/>
    </w:rPr>
  </w:style>
  <w:style w:type="paragraph" w:styleId="FootnoteText">
    <w:name w:val="footnote text"/>
    <w:basedOn w:val="Normal"/>
    <w:link w:val="FootnoteTextChar"/>
    <w:uiPriority w:val="99"/>
    <w:semiHidden/>
    <w:unhideWhenUsed/>
    <w:rsid w:val="00460265"/>
    <w:rPr>
      <w:sz w:val="20"/>
      <w:szCs w:val="20"/>
    </w:rPr>
  </w:style>
  <w:style w:type="character" w:customStyle="1" w:styleId="FootnoteTextChar">
    <w:name w:val="Footnote Text Char"/>
    <w:basedOn w:val="DefaultParagraphFont"/>
    <w:link w:val="FootnoteText"/>
    <w:uiPriority w:val="99"/>
    <w:semiHidden/>
    <w:rsid w:val="00460265"/>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4602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99"/>
    <w:pPr>
      <w:spacing w:after="0" w:line="240" w:lineRule="auto"/>
    </w:pPr>
    <w:rPr>
      <w:rFonts w:ascii="Times New Roman" w:eastAsia="Times New Roman" w:hAnsi="Times New Roman" w:cs="Times New Roman"/>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7EDD"/>
    <w:pPr>
      <w:spacing w:after="0" w:line="240" w:lineRule="auto"/>
    </w:pPr>
  </w:style>
  <w:style w:type="paragraph" w:customStyle="1" w:styleId="Level1">
    <w:name w:val="Level 1"/>
    <w:basedOn w:val="Normal"/>
    <w:rsid w:val="00C50A99"/>
    <w:pPr>
      <w:widowControl w:val="0"/>
      <w:ind w:left="720" w:hanging="720"/>
    </w:pPr>
    <w:rPr>
      <w:bCs w:val="0"/>
      <w:snapToGrid w:val="0"/>
      <w:spacing w:val="0"/>
      <w:szCs w:val="20"/>
    </w:rPr>
  </w:style>
  <w:style w:type="paragraph" w:styleId="Title">
    <w:name w:val="Title"/>
    <w:basedOn w:val="Normal"/>
    <w:link w:val="TitleChar"/>
    <w:qFormat/>
    <w:rsid w:val="00C50A99"/>
    <w:pPr>
      <w:jc w:val="center"/>
    </w:pPr>
    <w:rPr>
      <w:rFonts w:ascii="Arial" w:hAnsi="Arial"/>
      <w:b/>
      <w:spacing w:val="0"/>
      <w:sz w:val="22"/>
      <w:szCs w:val="20"/>
    </w:rPr>
  </w:style>
  <w:style w:type="character" w:customStyle="1" w:styleId="TitleChar">
    <w:name w:val="Title Char"/>
    <w:basedOn w:val="DefaultParagraphFont"/>
    <w:link w:val="Title"/>
    <w:rsid w:val="00C50A99"/>
    <w:rPr>
      <w:rFonts w:ascii="Arial" w:eastAsia="Times New Roman" w:hAnsi="Arial" w:cs="Times New Roman"/>
      <w:b/>
      <w:bCs/>
      <w:szCs w:val="20"/>
    </w:rPr>
  </w:style>
  <w:style w:type="paragraph" w:styleId="BodyTextIndent3">
    <w:name w:val="Body Text Indent 3"/>
    <w:basedOn w:val="Normal"/>
    <w:link w:val="BodyTextIndent3Char"/>
    <w:rsid w:val="00C50A99"/>
    <w:pPr>
      <w:ind w:right="720" w:firstLine="720"/>
    </w:pPr>
    <w:rPr>
      <w:i/>
    </w:rPr>
  </w:style>
  <w:style w:type="character" w:customStyle="1" w:styleId="BodyTextIndent3Char">
    <w:name w:val="Body Text Indent 3 Char"/>
    <w:basedOn w:val="DefaultParagraphFont"/>
    <w:link w:val="BodyTextIndent3"/>
    <w:rsid w:val="00C50A99"/>
    <w:rPr>
      <w:rFonts w:ascii="Times New Roman" w:eastAsia="Times New Roman" w:hAnsi="Times New Roman" w:cs="Times New Roman"/>
      <w:bCs/>
      <w:i/>
      <w:spacing w:val="-3"/>
      <w:sz w:val="24"/>
      <w:szCs w:val="24"/>
    </w:rPr>
  </w:style>
  <w:style w:type="paragraph" w:styleId="Header">
    <w:name w:val="header"/>
    <w:basedOn w:val="Normal"/>
    <w:link w:val="HeaderChar"/>
    <w:uiPriority w:val="99"/>
    <w:unhideWhenUsed/>
    <w:rsid w:val="00D324A6"/>
    <w:pPr>
      <w:tabs>
        <w:tab w:val="center" w:pos="4680"/>
        <w:tab w:val="right" w:pos="9360"/>
      </w:tabs>
    </w:pPr>
  </w:style>
  <w:style w:type="character" w:customStyle="1" w:styleId="HeaderChar">
    <w:name w:val="Header Char"/>
    <w:basedOn w:val="DefaultParagraphFont"/>
    <w:link w:val="Header"/>
    <w:uiPriority w:val="99"/>
    <w:rsid w:val="00D324A6"/>
    <w:rPr>
      <w:rFonts w:ascii="Times New Roman" w:eastAsia="Times New Roman" w:hAnsi="Times New Roman" w:cs="Times New Roman"/>
      <w:bCs/>
      <w:spacing w:val="-3"/>
      <w:sz w:val="24"/>
      <w:szCs w:val="24"/>
    </w:rPr>
  </w:style>
  <w:style w:type="paragraph" w:styleId="Footer">
    <w:name w:val="footer"/>
    <w:basedOn w:val="Normal"/>
    <w:link w:val="FooterChar"/>
    <w:uiPriority w:val="99"/>
    <w:unhideWhenUsed/>
    <w:rsid w:val="00D324A6"/>
    <w:pPr>
      <w:tabs>
        <w:tab w:val="center" w:pos="4680"/>
        <w:tab w:val="right" w:pos="9360"/>
      </w:tabs>
    </w:pPr>
  </w:style>
  <w:style w:type="character" w:customStyle="1" w:styleId="FooterChar">
    <w:name w:val="Footer Char"/>
    <w:basedOn w:val="DefaultParagraphFont"/>
    <w:link w:val="Footer"/>
    <w:uiPriority w:val="99"/>
    <w:rsid w:val="00D324A6"/>
    <w:rPr>
      <w:rFonts w:ascii="Times New Roman" w:eastAsia="Times New Roman" w:hAnsi="Times New Roman" w:cs="Times New Roman"/>
      <w:bCs/>
      <w:spacing w:val="-3"/>
      <w:sz w:val="24"/>
      <w:szCs w:val="24"/>
    </w:rPr>
  </w:style>
  <w:style w:type="paragraph" w:styleId="BalloonText">
    <w:name w:val="Balloon Text"/>
    <w:basedOn w:val="Normal"/>
    <w:link w:val="BalloonTextChar"/>
    <w:uiPriority w:val="99"/>
    <w:semiHidden/>
    <w:unhideWhenUsed/>
    <w:rsid w:val="00D324A6"/>
    <w:rPr>
      <w:rFonts w:ascii="Tahoma" w:hAnsi="Tahoma" w:cs="Tahoma"/>
      <w:sz w:val="16"/>
      <w:szCs w:val="16"/>
    </w:rPr>
  </w:style>
  <w:style w:type="character" w:customStyle="1" w:styleId="BalloonTextChar">
    <w:name w:val="Balloon Text Char"/>
    <w:basedOn w:val="DefaultParagraphFont"/>
    <w:link w:val="BalloonText"/>
    <w:uiPriority w:val="99"/>
    <w:semiHidden/>
    <w:rsid w:val="00D324A6"/>
    <w:rPr>
      <w:rFonts w:ascii="Tahoma" w:eastAsia="Times New Roman" w:hAnsi="Tahoma" w:cs="Tahoma"/>
      <w:bCs/>
      <w:spacing w:val="-3"/>
      <w:sz w:val="16"/>
      <w:szCs w:val="16"/>
    </w:rPr>
  </w:style>
  <w:style w:type="character" w:styleId="Hyperlink">
    <w:name w:val="Hyperlink"/>
    <w:basedOn w:val="DefaultParagraphFont"/>
    <w:uiPriority w:val="99"/>
    <w:unhideWhenUsed/>
    <w:rsid w:val="00E4704C"/>
    <w:rPr>
      <w:color w:val="0000FF" w:themeColor="hyperlink"/>
      <w:u w:val="single"/>
    </w:rPr>
  </w:style>
  <w:style w:type="paragraph" w:styleId="FootnoteText">
    <w:name w:val="footnote text"/>
    <w:basedOn w:val="Normal"/>
    <w:link w:val="FootnoteTextChar"/>
    <w:uiPriority w:val="99"/>
    <w:semiHidden/>
    <w:unhideWhenUsed/>
    <w:rsid w:val="00460265"/>
    <w:rPr>
      <w:sz w:val="20"/>
      <w:szCs w:val="20"/>
    </w:rPr>
  </w:style>
  <w:style w:type="character" w:customStyle="1" w:styleId="FootnoteTextChar">
    <w:name w:val="Footnote Text Char"/>
    <w:basedOn w:val="DefaultParagraphFont"/>
    <w:link w:val="FootnoteText"/>
    <w:uiPriority w:val="99"/>
    <w:semiHidden/>
    <w:rsid w:val="00460265"/>
    <w:rPr>
      <w:rFonts w:ascii="Times New Roman" w:eastAsia="Times New Roman" w:hAnsi="Times New Roman" w:cs="Times New Roman"/>
      <w:bCs/>
      <w:spacing w:val="-3"/>
      <w:sz w:val="20"/>
      <w:szCs w:val="20"/>
    </w:rPr>
  </w:style>
  <w:style w:type="character" w:styleId="FootnoteReference">
    <w:name w:val="footnote reference"/>
    <w:basedOn w:val="DefaultParagraphFont"/>
    <w:uiPriority w:val="99"/>
    <w:semiHidden/>
    <w:unhideWhenUsed/>
    <w:rsid w:val="004602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healthcentercompliance.com/subscriber/pca-toolkit/volume-2/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9B14-F374-4E4A-B61C-74D8ACE0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Feldesman Tucker Leifer Fidell LLP</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Falcone, Adam J.</dc:creator>
  <cp:lastModifiedBy>Zimbro, Karen</cp:lastModifiedBy>
  <cp:revision>3</cp:revision>
  <cp:lastPrinted>2015-11-13T21:58:00Z</cp:lastPrinted>
  <dcterms:created xsi:type="dcterms:W3CDTF">2015-11-13T21:57:00Z</dcterms:created>
  <dcterms:modified xsi:type="dcterms:W3CDTF">2015-11-13T21:59:00Z</dcterms:modified>
</cp:coreProperties>
</file>