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C4" w:rsidRPr="00B85FAB" w:rsidRDefault="00BB3CC4" w:rsidP="003154E7">
      <w:pPr>
        <w:pStyle w:val="Heading3"/>
        <w:jc w:val="center"/>
        <w:rPr>
          <w:b/>
          <w:bCs/>
          <w:kern w:val="2"/>
          <w:sz w:val="32"/>
          <w:szCs w:val="32"/>
          <w:u w:val="none"/>
        </w:rPr>
      </w:pPr>
      <w:bookmarkStart w:id="0" w:name="_GoBack"/>
      <w:bookmarkEnd w:id="0"/>
      <w:r w:rsidRPr="00B85FAB">
        <w:rPr>
          <w:b/>
          <w:bCs/>
          <w:kern w:val="2"/>
          <w:sz w:val="32"/>
          <w:szCs w:val="32"/>
          <w:u w:val="none"/>
        </w:rPr>
        <w:t>Terms for a Participation Agreement</w:t>
      </w:r>
      <w:r w:rsidR="003A3B65" w:rsidRPr="00B85FAB">
        <w:rPr>
          <w:b/>
          <w:bCs/>
          <w:kern w:val="2"/>
          <w:sz w:val="32"/>
          <w:szCs w:val="32"/>
          <w:u w:val="none"/>
        </w:rPr>
        <w:t>: Checklist</w:t>
      </w:r>
      <w:r w:rsidR="00673ECA" w:rsidRPr="00B85FAB">
        <w:rPr>
          <w:rStyle w:val="FootnoteReference"/>
          <w:b/>
          <w:bCs/>
          <w:kern w:val="2"/>
          <w:szCs w:val="24"/>
          <w:u w:val="none"/>
        </w:rPr>
        <w:footnoteReference w:id="1"/>
      </w:r>
    </w:p>
    <w:p w:rsidR="00BB3CC4" w:rsidRPr="00B85FAB" w:rsidRDefault="00BB3CC4" w:rsidP="003154E7">
      <w:pPr>
        <w:pBdr>
          <w:bottom w:val="single" w:sz="12" w:space="1" w:color="auto"/>
        </w:pBdr>
        <w:autoSpaceDE w:val="0"/>
        <w:autoSpaceDN w:val="0"/>
        <w:adjustRightInd w:val="0"/>
        <w:ind w:right="-20"/>
        <w:jc w:val="both"/>
        <w:rPr>
          <w:b/>
          <w:bCs w:val="0"/>
          <w:spacing w:val="0"/>
          <w:kern w:val="2"/>
        </w:rPr>
      </w:pPr>
    </w:p>
    <w:p w:rsidR="00AA236A" w:rsidRPr="00B85FAB" w:rsidRDefault="00AA236A" w:rsidP="003154E7">
      <w:pPr>
        <w:jc w:val="both"/>
        <w:rPr>
          <w:b/>
          <w:bCs w:val="0"/>
          <w:spacing w:val="0"/>
          <w:kern w:val="2"/>
          <w:u w:val="single"/>
        </w:rPr>
      </w:pPr>
    </w:p>
    <w:p w:rsidR="00AA236A" w:rsidRPr="00B85FAB" w:rsidRDefault="00AA236A" w:rsidP="003154E7">
      <w:pPr>
        <w:jc w:val="both"/>
        <w:rPr>
          <w:b/>
          <w:bCs w:val="0"/>
          <w:spacing w:val="0"/>
          <w:kern w:val="2"/>
          <w:u w:val="single"/>
        </w:rPr>
      </w:pPr>
      <w:r w:rsidRPr="00B85FAB">
        <w:rPr>
          <w:b/>
          <w:bCs w:val="0"/>
          <w:spacing w:val="0"/>
          <w:kern w:val="2"/>
          <w:u w:val="single"/>
        </w:rPr>
        <w:t>Scope of Services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The agreed upon scope of shared programs, products and services that would be provided under the Participation Agreement, including</w:t>
      </w:r>
      <w:r w:rsidR="00CC44B3" w:rsidRPr="00B85FAB">
        <w:rPr>
          <w:spacing w:val="0"/>
          <w:kern w:val="2"/>
        </w:rPr>
        <w:t>: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86784A" w:rsidRPr="00B85FAB" w:rsidRDefault="00AA236A" w:rsidP="003154E7">
      <w:pPr>
        <w:numPr>
          <w:ilvl w:val="0"/>
          <w:numId w:val="1"/>
        </w:numPr>
        <w:tabs>
          <w:tab w:val="num" w:pos="1440"/>
        </w:tabs>
        <w:ind w:left="1080"/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 xml:space="preserve">A </w:t>
      </w:r>
      <w:r w:rsidR="00CC44B3" w:rsidRPr="00B85FAB">
        <w:rPr>
          <w:spacing w:val="0"/>
          <w:kern w:val="2"/>
        </w:rPr>
        <w:t>schedule of</w:t>
      </w:r>
      <w:r w:rsidRPr="00B85FAB">
        <w:rPr>
          <w:spacing w:val="0"/>
          <w:kern w:val="2"/>
        </w:rPr>
        <w:t xml:space="preserve"> purchase prices, as applicable</w:t>
      </w:r>
    </w:p>
    <w:p w:rsidR="0086784A" w:rsidRPr="00B85FAB" w:rsidRDefault="0086784A" w:rsidP="003154E7">
      <w:pPr>
        <w:pStyle w:val="ListParagraph"/>
        <w:jc w:val="both"/>
        <w:rPr>
          <w:spacing w:val="0"/>
          <w:kern w:val="2"/>
        </w:rPr>
      </w:pPr>
    </w:p>
    <w:p w:rsidR="0086784A" w:rsidRPr="00B85FAB" w:rsidRDefault="0086784A" w:rsidP="003154E7">
      <w:pPr>
        <w:numPr>
          <w:ilvl w:val="0"/>
          <w:numId w:val="1"/>
        </w:numPr>
        <w:tabs>
          <w:tab w:val="num" w:pos="1440"/>
        </w:tabs>
        <w:ind w:left="1080"/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 minimum level of programs, services and products in which the member must participate, as applicable</w:t>
      </w:r>
    </w:p>
    <w:p w:rsidR="0086784A" w:rsidRPr="00B85FAB" w:rsidRDefault="0086784A" w:rsidP="003154E7">
      <w:pPr>
        <w:pStyle w:val="ListParagraph"/>
        <w:jc w:val="both"/>
        <w:rPr>
          <w:spacing w:val="0"/>
          <w:kern w:val="2"/>
        </w:rPr>
      </w:pPr>
    </w:p>
    <w:p w:rsidR="00AA236A" w:rsidRPr="00B85FAB" w:rsidRDefault="00A15F34" w:rsidP="003154E7">
      <w:pPr>
        <w:numPr>
          <w:ilvl w:val="0"/>
          <w:numId w:val="1"/>
        </w:numPr>
        <w:tabs>
          <w:tab w:val="num" w:pos="1440"/>
        </w:tabs>
        <w:ind w:left="1080"/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 “</w:t>
      </w:r>
      <w:r w:rsidR="0066208A">
        <w:rPr>
          <w:spacing w:val="0"/>
          <w:kern w:val="2"/>
        </w:rPr>
        <w:t>right of first refusal”</w:t>
      </w:r>
      <w:r w:rsidR="00AA236A" w:rsidRPr="00B85FAB">
        <w:rPr>
          <w:spacing w:val="0"/>
          <w:kern w:val="2"/>
        </w:rPr>
        <w:t xml:space="preserve"> with respect to the purchase or development of programs, products and services not included within the defined scope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jc w:val="both"/>
        <w:rPr>
          <w:b/>
          <w:spacing w:val="0"/>
          <w:kern w:val="2"/>
          <w:u w:val="single"/>
        </w:rPr>
      </w:pPr>
      <w:r w:rsidRPr="00B85FAB">
        <w:rPr>
          <w:b/>
          <w:spacing w:val="0"/>
          <w:kern w:val="2"/>
          <w:u w:val="single"/>
        </w:rPr>
        <w:t>Agreements of the Participating Members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Each participating member agrees: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fill all needs with respect to the agreed upon programs, products and services through the centralized functions of the PCA</w:t>
      </w:r>
      <w:r w:rsidR="00202708" w:rsidRPr="00B85FAB">
        <w:rPr>
          <w:spacing w:val="0"/>
          <w:kern w:val="2"/>
        </w:rPr>
        <w:t>-HCCN</w:t>
      </w: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tabs>
          <w:tab w:val="num" w:pos="1440"/>
        </w:tabs>
        <w:ind w:left="1440" w:hanging="720"/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As an alternative, the PCA</w:t>
      </w:r>
      <w:r w:rsidR="00202708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may require that each participating member participate in a minimum level (rather than all) of the programs, services and products offered and/or developed by the PCA</w:t>
      </w:r>
      <w:r w:rsidR="00202708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– each program, service and product will, in turn, be described in separate addendums to the ”master” Participation Agreement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comply with all policies and procedures developed by the PCA</w:t>
      </w:r>
      <w:r w:rsidR="00202708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, as well as the terms and </w:t>
      </w:r>
      <w:r w:rsidR="0086784A" w:rsidRPr="00B85FAB">
        <w:rPr>
          <w:spacing w:val="0"/>
          <w:kern w:val="2"/>
        </w:rPr>
        <w:t xml:space="preserve">conditions of all grant awards </w:t>
      </w:r>
      <w:r w:rsidRPr="00B85FAB">
        <w:rPr>
          <w:spacing w:val="0"/>
          <w:kern w:val="2"/>
        </w:rPr>
        <w:t xml:space="preserve">related to </w:t>
      </w:r>
      <w:r w:rsidR="0086784A" w:rsidRPr="00B85FAB">
        <w:rPr>
          <w:spacing w:val="0"/>
          <w:kern w:val="2"/>
        </w:rPr>
        <w:t xml:space="preserve">(and/or supporting) </w:t>
      </w:r>
      <w:r w:rsidRPr="00B85FAB">
        <w:rPr>
          <w:spacing w:val="0"/>
          <w:kern w:val="2"/>
        </w:rPr>
        <w:t>the shared programs, products and/or services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86784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If the PCA</w:t>
      </w:r>
      <w:r w:rsidR="00202708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provides the agreed upon scope through vendor contracts (either in whole or in part), to authorize the PCA</w:t>
      </w:r>
      <w:r w:rsidR="009E5C40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to draft, negotiate and execute such contracts </w:t>
      </w:r>
    </w:p>
    <w:p w:rsidR="0086784A" w:rsidRPr="00B85FAB" w:rsidRDefault="0086784A" w:rsidP="003154E7">
      <w:pPr>
        <w:pStyle w:val="ListParagraph"/>
        <w:jc w:val="both"/>
        <w:rPr>
          <w:spacing w:val="0"/>
          <w:kern w:val="2"/>
          <w:u w:val="single"/>
        </w:rPr>
      </w:pPr>
    </w:p>
    <w:p w:rsidR="00AA236A" w:rsidRPr="00B85FAB" w:rsidRDefault="0086784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lastRenderedPageBreak/>
        <w:t>If the PCA</w:t>
      </w:r>
      <w:r w:rsidR="009E6832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provides the agreed upon scope through vendor contracts (either in whole or in part), </w:t>
      </w:r>
      <w:r w:rsidR="00AA236A" w:rsidRPr="00B85FAB">
        <w:rPr>
          <w:spacing w:val="0"/>
          <w:kern w:val="2"/>
        </w:rPr>
        <w:t>to comply with the terms and conditions of such vendor contracts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pay a pro-rata share of the costs related to specific programs, products and/or services, as applicable and necessary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authorize the PCA</w:t>
      </w:r>
      <w:r w:rsidR="009E6832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to hire staff  as necessary to provide support services related to the shared programs, products and/or services (and, as necessary, to fire such staff)</w:t>
      </w:r>
    </w:p>
    <w:p w:rsidR="00AA236A" w:rsidRPr="00B85FAB" w:rsidRDefault="00AA236A" w:rsidP="003154E7">
      <w:pPr>
        <w:jc w:val="both"/>
        <w:rPr>
          <w:b/>
          <w:spacing w:val="0"/>
          <w:kern w:val="2"/>
          <w:u w:val="single"/>
        </w:rPr>
      </w:pPr>
    </w:p>
    <w:p w:rsidR="00AA236A" w:rsidRPr="00B85FAB" w:rsidRDefault="00AA236A" w:rsidP="003154E7">
      <w:pPr>
        <w:jc w:val="both"/>
        <w:rPr>
          <w:b/>
          <w:spacing w:val="0"/>
          <w:kern w:val="2"/>
          <w:u w:val="single"/>
        </w:rPr>
      </w:pPr>
      <w:r w:rsidRPr="00B85FAB">
        <w:rPr>
          <w:b/>
          <w:spacing w:val="0"/>
          <w:kern w:val="2"/>
          <w:u w:val="single"/>
        </w:rPr>
        <w:t>Agreements of the PCA</w:t>
      </w:r>
      <w:r w:rsidR="00E3131F" w:rsidRPr="00B85FAB">
        <w:rPr>
          <w:b/>
          <w:spacing w:val="0"/>
          <w:kern w:val="2"/>
          <w:u w:val="single"/>
        </w:rPr>
        <w:t>-HCCN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The PCA</w:t>
      </w:r>
      <w:r w:rsidR="00E3131F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agrees: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 xml:space="preserve">To provide the agreed upon scope of programs, products and/or services through internal development, contracts with vendors, or a combination of the two  </w:t>
      </w:r>
    </w:p>
    <w:p w:rsidR="00AA236A" w:rsidRPr="00B85FAB" w:rsidRDefault="00AA236A" w:rsidP="003154E7">
      <w:pPr>
        <w:tabs>
          <w:tab w:val="num" w:pos="1440"/>
        </w:tabs>
        <w:ind w:left="720"/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tabs>
          <w:tab w:val="num" w:pos="1440"/>
        </w:tabs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serve as the central point of communication and coordination with vendors vis-à-vis shared programs, products and services, as well as related training programs</w:t>
      </w: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tabs>
          <w:tab w:val="num" w:pos="1440"/>
        </w:tabs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take all necessary steps to establish the shared programs, products and/or services, including, as necessary, the hiring of staff and consultants</w:t>
      </w:r>
    </w:p>
    <w:p w:rsidR="0086784A" w:rsidRPr="00B85FAB" w:rsidRDefault="0086784A" w:rsidP="003154E7">
      <w:pPr>
        <w:pStyle w:val="ListParagraph"/>
        <w:jc w:val="both"/>
        <w:rPr>
          <w:spacing w:val="0"/>
          <w:kern w:val="2"/>
        </w:rPr>
      </w:pPr>
    </w:p>
    <w:p w:rsidR="0086784A" w:rsidRPr="00B85FAB" w:rsidRDefault="0086784A" w:rsidP="003154E7">
      <w:pPr>
        <w:numPr>
          <w:ilvl w:val="0"/>
          <w:numId w:val="1"/>
        </w:numPr>
        <w:tabs>
          <w:tab w:val="num" w:pos="1440"/>
        </w:tabs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To ensure that participating members receive appropriate and necessary training as applicable to the specific program, product and/or service</w:t>
      </w: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  <w:r w:rsidRPr="00B85FAB">
        <w:rPr>
          <w:b/>
          <w:spacing w:val="0"/>
          <w:kern w:val="2"/>
          <w:u w:val="single"/>
        </w:rPr>
        <w:t>Termination</w:t>
      </w: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Circumstances under which a member can terminate its participation in specific programs, products and/or services</w:t>
      </w:r>
    </w:p>
    <w:p w:rsidR="00AA236A" w:rsidRPr="00B85FAB" w:rsidRDefault="00AA236A" w:rsidP="003154E7">
      <w:pPr>
        <w:ind w:left="360"/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 statement that termination of participation would not result in termination of  membership in the PCA</w:t>
      </w:r>
      <w:r w:rsidR="002E3F7F" w:rsidRPr="00B85FAB">
        <w:rPr>
          <w:spacing w:val="0"/>
          <w:kern w:val="2"/>
        </w:rPr>
        <w:t>-HCCN</w:t>
      </w:r>
      <w:r w:rsidR="0086784A" w:rsidRPr="00B85FAB">
        <w:rPr>
          <w:spacing w:val="0"/>
          <w:kern w:val="2"/>
        </w:rPr>
        <w:t xml:space="preserve"> (assuming that the program, product or service is available solely to PCA</w:t>
      </w:r>
      <w:r w:rsidR="002E3F7F" w:rsidRPr="00B85FAB">
        <w:rPr>
          <w:spacing w:val="0"/>
          <w:kern w:val="2"/>
        </w:rPr>
        <w:t>-HCCN</w:t>
      </w:r>
      <w:r w:rsidR="0086784A" w:rsidRPr="00B85FAB">
        <w:rPr>
          <w:spacing w:val="0"/>
          <w:kern w:val="2"/>
        </w:rPr>
        <w:t xml:space="preserve"> members)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Financial and other obligations of a member that terminates participation, including penalties for early termination without just cause (and defined circumstances which would constitute just cause)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jc w:val="both"/>
        <w:rPr>
          <w:b/>
          <w:spacing w:val="0"/>
          <w:kern w:val="2"/>
          <w:u w:val="single"/>
        </w:rPr>
      </w:pPr>
      <w:r w:rsidRPr="00B85FAB">
        <w:rPr>
          <w:b/>
          <w:spacing w:val="0"/>
          <w:kern w:val="2"/>
          <w:u w:val="single"/>
        </w:rPr>
        <w:t>Disclaimers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 provision under which the</w:t>
      </w:r>
      <w:r w:rsidR="002E3F7F" w:rsidRPr="00B85FAB">
        <w:rPr>
          <w:spacing w:val="0"/>
          <w:kern w:val="2"/>
        </w:rPr>
        <w:t xml:space="preserve"> </w:t>
      </w:r>
      <w:r w:rsidRPr="00B85FAB">
        <w:rPr>
          <w:spacing w:val="0"/>
          <w:kern w:val="2"/>
        </w:rPr>
        <w:t>PCA</w:t>
      </w:r>
      <w:r w:rsidR="002E3F7F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disclaims any warranties with respect to the shared programs, products and services</w:t>
      </w: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lastRenderedPageBreak/>
        <w:t>A provision under which the PCA</w:t>
      </w:r>
      <w:r w:rsidR="002E3F7F" w:rsidRPr="00B85FAB">
        <w:rPr>
          <w:spacing w:val="0"/>
          <w:kern w:val="2"/>
        </w:rPr>
        <w:t>-HCCN</w:t>
      </w:r>
      <w:r w:rsidRPr="00B85FAB">
        <w:rPr>
          <w:spacing w:val="0"/>
          <w:kern w:val="2"/>
        </w:rPr>
        <w:t xml:space="preserve"> does not guarantee the financial liability or viability of its members</w:t>
      </w: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</w:rPr>
      </w:pPr>
    </w:p>
    <w:p w:rsidR="00AA236A" w:rsidRPr="00B85FAB" w:rsidRDefault="00AA236A" w:rsidP="003154E7">
      <w:pPr>
        <w:spacing w:after="200" w:line="276" w:lineRule="auto"/>
        <w:jc w:val="both"/>
        <w:rPr>
          <w:b/>
          <w:spacing w:val="0"/>
          <w:kern w:val="2"/>
          <w:u w:val="single"/>
        </w:rPr>
      </w:pPr>
      <w:r w:rsidRPr="00B85FAB">
        <w:rPr>
          <w:b/>
          <w:spacing w:val="0"/>
          <w:kern w:val="2"/>
          <w:u w:val="single"/>
        </w:rPr>
        <w:t>Insurance and Indemnification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Bilateral insurance and indemnification obligations</w:t>
      </w:r>
    </w:p>
    <w:p w:rsidR="00AA236A" w:rsidRPr="00B85FAB" w:rsidRDefault="00AA236A" w:rsidP="003154E7">
      <w:pPr>
        <w:ind w:left="360"/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bCs w:val="0"/>
          <w:spacing w:val="0"/>
          <w:kern w:val="2"/>
        </w:rPr>
        <w:t>If a member contracts with the PCA</w:t>
      </w:r>
      <w:r w:rsidR="002E3F7F" w:rsidRPr="00B85FAB">
        <w:rPr>
          <w:bCs w:val="0"/>
          <w:spacing w:val="0"/>
          <w:kern w:val="2"/>
        </w:rPr>
        <w:t>-HCCN</w:t>
      </w:r>
      <w:r w:rsidRPr="00B85FAB">
        <w:rPr>
          <w:bCs w:val="0"/>
          <w:spacing w:val="0"/>
          <w:kern w:val="2"/>
        </w:rPr>
        <w:t xml:space="preserve"> to furnish the services of one or more of its personnel to the PCA</w:t>
      </w:r>
      <w:r w:rsidR="002E3F7F" w:rsidRPr="00B85FAB">
        <w:rPr>
          <w:bCs w:val="0"/>
          <w:spacing w:val="0"/>
          <w:kern w:val="2"/>
        </w:rPr>
        <w:t>-HCCN</w:t>
      </w:r>
      <w:r w:rsidRPr="00B85FAB">
        <w:rPr>
          <w:bCs w:val="0"/>
          <w:spacing w:val="0"/>
          <w:kern w:val="2"/>
        </w:rPr>
        <w:t xml:space="preserve"> (and the other members), a statement that the parties will execute (or have executed) a separate </w:t>
      </w:r>
      <w:r w:rsidRPr="00B85FAB">
        <w:rPr>
          <w:bCs w:val="0"/>
          <w:spacing w:val="0"/>
          <w:kern w:val="2"/>
          <w:u w:val="single"/>
        </w:rPr>
        <w:t>vendor agreement</w:t>
      </w:r>
      <w:r w:rsidRPr="00B85FAB">
        <w:rPr>
          <w:bCs w:val="0"/>
          <w:spacing w:val="0"/>
          <w:kern w:val="2"/>
        </w:rPr>
        <w:t xml:space="preserve"> protecting the member vis-à-vis actions of the PCA</w:t>
      </w:r>
      <w:r w:rsidR="005A3BC0" w:rsidRPr="00B85FAB">
        <w:rPr>
          <w:bCs w:val="0"/>
          <w:spacing w:val="0"/>
          <w:kern w:val="2"/>
        </w:rPr>
        <w:t>-HCCN</w:t>
      </w:r>
      <w:r w:rsidRPr="00B85FAB">
        <w:rPr>
          <w:bCs w:val="0"/>
          <w:spacing w:val="0"/>
          <w:kern w:val="2"/>
        </w:rPr>
        <w:t xml:space="preserve"> and the other members is recommended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tabs>
          <w:tab w:val="num" w:pos="1440"/>
        </w:tabs>
        <w:jc w:val="both"/>
        <w:rPr>
          <w:spacing w:val="0"/>
          <w:kern w:val="2"/>
          <w:u w:val="single"/>
        </w:rPr>
      </w:pPr>
      <w:r w:rsidRPr="00B85FAB">
        <w:rPr>
          <w:b/>
          <w:spacing w:val="0"/>
          <w:kern w:val="2"/>
          <w:u w:val="single"/>
        </w:rPr>
        <w:t>Other</w:t>
      </w:r>
    </w:p>
    <w:p w:rsidR="00AA236A" w:rsidRPr="00B85FAB" w:rsidRDefault="00AA236A" w:rsidP="003154E7">
      <w:pPr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Acknowledgment that the governing Board and CEO of each member retains all authorities placed in them by applicable regulations, including Section 330 requirements</w:t>
      </w:r>
    </w:p>
    <w:p w:rsidR="00AA236A" w:rsidRPr="00B85FAB" w:rsidRDefault="00AA236A" w:rsidP="003154E7">
      <w:pPr>
        <w:ind w:left="360"/>
        <w:jc w:val="both"/>
        <w:rPr>
          <w:spacing w:val="0"/>
          <w:kern w:val="2"/>
        </w:rPr>
      </w:pPr>
    </w:p>
    <w:p w:rsidR="00AA236A" w:rsidRPr="00B85FAB" w:rsidRDefault="00AA236A" w:rsidP="003154E7">
      <w:pPr>
        <w:numPr>
          <w:ilvl w:val="0"/>
          <w:numId w:val="1"/>
        </w:numPr>
        <w:jc w:val="both"/>
        <w:rPr>
          <w:spacing w:val="0"/>
          <w:kern w:val="2"/>
        </w:rPr>
      </w:pPr>
      <w:r w:rsidRPr="00B85FAB">
        <w:rPr>
          <w:spacing w:val="0"/>
          <w:kern w:val="2"/>
        </w:rPr>
        <w:t>Bilateral confidentiality provisions</w:t>
      </w:r>
    </w:p>
    <w:p w:rsidR="0000738F" w:rsidRPr="00B85FAB" w:rsidRDefault="0000738F" w:rsidP="003154E7">
      <w:pPr>
        <w:jc w:val="both"/>
        <w:rPr>
          <w:spacing w:val="0"/>
          <w:kern w:val="2"/>
        </w:rPr>
      </w:pPr>
    </w:p>
    <w:sectPr w:rsidR="0000738F" w:rsidRPr="00B85FAB" w:rsidSect="003154E7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37" w:rsidRDefault="00E60E37" w:rsidP="00E60E37">
      <w:r>
        <w:separator/>
      </w:r>
    </w:p>
  </w:endnote>
  <w:endnote w:type="continuationSeparator" w:id="0">
    <w:p w:rsidR="00E60E37" w:rsidRDefault="00E60E37" w:rsidP="00E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37" w:rsidRPr="006B59DD" w:rsidRDefault="00E60E37" w:rsidP="00E60E37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</w:p>
  <w:p w:rsidR="00E60E37" w:rsidRPr="006B59DD" w:rsidRDefault="00E60E37" w:rsidP="00E60E37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E60E37" w:rsidRPr="0012667E" w:rsidRDefault="00E60E37" w:rsidP="00E60E37">
    <w:pPr>
      <w:tabs>
        <w:tab w:val="left" w:pos="2340"/>
      </w:tabs>
      <w:jc w:val="center"/>
      <w:rPr>
        <w:rFonts w:eastAsia="Calibri"/>
        <w:bCs w:val="0"/>
        <w:spacing w:val="0"/>
        <w:kern w:val="2"/>
        <w:sz w:val="20"/>
        <w:szCs w:val="20"/>
      </w:rPr>
    </w:pPr>
    <w:r w:rsidRPr="0012667E">
      <w:rPr>
        <w:rFonts w:eastAsia="Calibri"/>
        <w:spacing w:val="0"/>
        <w:kern w:val="2"/>
        <w:sz w:val="20"/>
        <w:szCs w:val="20"/>
      </w:rPr>
      <w:t>The Corporate Compliance Toolkit</w:t>
    </w:r>
    <w:r w:rsidR="003A3B65" w:rsidRPr="0012667E">
      <w:rPr>
        <w:rFonts w:eastAsia="Calibri"/>
        <w:spacing w:val="0"/>
        <w:kern w:val="2"/>
        <w:sz w:val="20"/>
        <w:szCs w:val="20"/>
      </w:rPr>
      <w:t xml:space="preserve"> for PCAs-HCCNs</w:t>
    </w:r>
  </w:p>
  <w:p w:rsidR="00E60E37" w:rsidRPr="0012667E" w:rsidRDefault="00E60E37" w:rsidP="00E60E37">
    <w:pPr>
      <w:tabs>
        <w:tab w:val="left" w:pos="2340"/>
      </w:tabs>
      <w:jc w:val="center"/>
      <w:rPr>
        <w:rFonts w:eastAsia="Calibri"/>
        <w:bCs w:val="0"/>
        <w:spacing w:val="0"/>
        <w:kern w:val="2"/>
        <w:sz w:val="20"/>
        <w:szCs w:val="20"/>
        <w:lang w:val="de-DE"/>
      </w:rPr>
    </w:pPr>
    <w:r w:rsidRPr="0012667E">
      <w:rPr>
        <w:rFonts w:eastAsia="Calibri"/>
        <w:spacing w:val="0"/>
        <w:kern w:val="2"/>
        <w:sz w:val="20"/>
        <w:szCs w:val="20"/>
        <w:lang w:val="de-DE"/>
      </w:rPr>
      <w:t xml:space="preserve">© </w:t>
    </w:r>
    <w:r w:rsidRPr="0012667E">
      <w:rPr>
        <w:rFonts w:eastAsia="Calibri"/>
        <w:spacing w:val="0"/>
        <w:kern w:val="2"/>
        <w:sz w:val="20"/>
        <w:szCs w:val="20"/>
        <w:lang w:val="de-DE"/>
      </w:rPr>
      <w:t>201</w:t>
    </w:r>
    <w:r w:rsidR="00603131" w:rsidRPr="0012667E">
      <w:rPr>
        <w:rFonts w:eastAsia="Calibri"/>
        <w:spacing w:val="0"/>
        <w:kern w:val="2"/>
        <w:sz w:val="20"/>
        <w:szCs w:val="20"/>
        <w:lang w:val="de-DE"/>
      </w:rPr>
      <w:t>5</w:t>
    </w:r>
    <w:r w:rsidRPr="0012667E">
      <w:rPr>
        <w:rFonts w:eastAsia="Calibri"/>
        <w:spacing w:val="0"/>
        <w:kern w:val="2"/>
        <w:sz w:val="20"/>
        <w:szCs w:val="20"/>
        <w:lang w:val="de-DE"/>
      </w:rPr>
      <w:t xml:space="preserve"> </w:t>
    </w:r>
    <w:r w:rsidRPr="0012667E">
      <w:rPr>
        <w:rFonts w:eastAsia="Calibri"/>
        <w:spacing w:val="0"/>
        <w:kern w:val="2"/>
        <w:sz w:val="20"/>
        <w:szCs w:val="20"/>
      </w:rPr>
      <w:t>National Association of Community Health Centers, Inc.</w:t>
    </w:r>
  </w:p>
  <w:p w:rsidR="00E60E37" w:rsidRPr="006B59DD" w:rsidRDefault="00E60E37" w:rsidP="00E60E37">
    <w:pPr>
      <w:tabs>
        <w:tab w:val="left" w:pos="2340"/>
      </w:tabs>
      <w:jc w:val="center"/>
      <w:rPr>
        <w:rFonts w:eastAsia="Calibri"/>
        <w:bCs w:val="0"/>
        <w:sz w:val="20"/>
        <w:szCs w:val="20"/>
        <w:lang w:val="de-DE"/>
      </w:rPr>
    </w:pPr>
    <w:r w:rsidRPr="0012667E">
      <w:rPr>
        <w:rFonts w:eastAsia="Calibri"/>
        <w:spacing w:val="0"/>
        <w:kern w:val="2"/>
        <w:sz w:val="20"/>
        <w:szCs w:val="20"/>
        <w:lang w:val="de-DE"/>
      </w:rPr>
      <w:t>and Feldesman Tucker Leifer Fidell LLP</w:t>
    </w:r>
  </w:p>
  <w:p w:rsidR="00E60E37" w:rsidRPr="006B59DD" w:rsidRDefault="00E60E37" w:rsidP="00E60E37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E60E37" w:rsidRPr="00E60E37" w:rsidRDefault="00E60E37" w:rsidP="00E60E37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6B59DD">
      <w:rPr>
        <w:rFonts w:eastAsia="Calibri"/>
        <w:bCs w:val="0"/>
        <w:sz w:val="20"/>
        <w:szCs w:val="20"/>
      </w:rPr>
      <w:fldChar w:fldCharType="begin"/>
    </w:r>
    <w:r w:rsidRPr="006B59DD">
      <w:rPr>
        <w:rFonts w:eastAsia="Calibri"/>
        <w:sz w:val="20"/>
        <w:szCs w:val="20"/>
      </w:rPr>
      <w:instrText xml:space="preserve"> PAGE </w:instrText>
    </w:r>
    <w:r w:rsidRPr="006B59DD">
      <w:rPr>
        <w:rFonts w:eastAsia="Calibri"/>
        <w:bCs w:val="0"/>
        <w:sz w:val="20"/>
        <w:szCs w:val="20"/>
      </w:rPr>
      <w:fldChar w:fldCharType="separate"/>
    </w:r>
    <w:r w:rsidR="009B4D18">
      <w:rPr>
        <w:rFonts w:eastAsia="Calibri"/>
        <w:noProof/>
        <w:sz w:val="20"/>
        <w:szCs w:val="20"/>
      </w:rPr>
      <w:t>1</w:t>
    </w:r>
    <w:r w:rsidRPr="006B59DD">
      <w:rPr>
        <w:rFonts w:eastAsia="Calibri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37" w:rsidRDefault="00E60E37" w:rsidP="00E60E37">
      <w:r>
        <w:separator/>
      </w:r>
    </w:p>
  </w:footnote>
  <w:footnote w:type="continuationSeparator" w:id="0">
    <w:p w:rsidR="00E60E37" w:rsidRDefault="00E60E37" w:rsidP="00E60E37">
      <w:r>
        <w:continuationSeparator/>
      </w:r>
    </w:p>
  </w:footnote>
  <w:footnote w:id="1">
    <w:p w:rsidR="00673ECA" w:rsidRPr="0066208A" w:rsidRDefault="00673ECA" w:rsidP="003154E7">
      <w:pPr>
        <w:pStyle w:val="FootnoteText"/>
        <w:ind w:left="360" w:hanging="360"/>
        <w:rPr>
          <w:spacing w:val="0"/>
        </w:rPr>
      </w:pPr>
      <w:r w:rsidRPr="0066208A">
        <w:rPr>
          <w:rStyle w:val="FootnoteReference"/>
          <w:spacing w:val="0"/>
        </w:rPr>
        <w:footnoteRef/>
      </w:r>
      <w:r w:rsidRPr="0066208A">
        <w:rPr>
          <w:spacing w:val="0"/>
        </w:rPr>
        <w:t xml:space="preserve"> </w:t>
      </w:r>
      <w:r w:rsidR="003154E7">
        <w:rPr>
          <w:spacing w:val="0"/>
        </w:rPr>
        <w:tab/>
      </w:r>
      <w:r w:rsidRPr="0066208A">
        <w:rPr>
          <w:spacing w:val="0"/>
        </w:rPr>
        <w:t>The Authors of these materials include attorneys at the law firm of Feldesman Tucker Leifer Fidell LLP. The sample documents offer general guidance based</w:t>
      </w:r>
      <w:r w:rsidR="00391774" w:rsidRPr="0066208A">
        <w:rPr>
          <w:spacing w:val="0"/>
        </w:rPr>
        <w:t xml:space="preserve"> on federal law and regulations</w:t>
      </w:r>
      <w:r w:rsidRPr="0066208A">
        <w:rPr>
          <w:spacing w:val="0"/>
        </w:rPr>
        <w:t xml:space="preserve"> and do not necessarily apply to all PCAs</w:t>
      </w:r>
      <w:r w:rsidR="0023445B" w:rsidRPr="0066208A">
        <w:rPr>
          <w:spacing w:val="0"/>
        </w:rPr>
        <w:t>-HCCNs</w:t>
      </w:r>
      <w:r w:rsidRPr="0066208A">
        <w:rPr>
          <w:spacing w:val="0"/>
        </w:rPr>
        <w:t xml:space="preserve"> under all facts and circumstances. Further, these materials do not replace, and are not a substitute for, legal advice from qualified legal counsel.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37" w:rsidRPr="00A15F34" w:rsidRDefault="00E60E37" w:rsidP="00E60E37">
    <w:pPr>
      <w:jc w:val="center"/>
      <w:rPr>
        <w:spacing w:val="0"/>
        <w:kern w:val="2"/>
        <w:sz w:val="20"/>
      </w:rPr>
    </w:pPr>
    <w:r w:rsidRPr="00A15F34">
      <w:rPr>
        <w:spacing w:val="0"/>
        <w:kern w:val="2"/>
        <w:sz w:val="20"/>
      </w:rPr>
      <w:t>Volume II: PCA</w:t>
    </w:r>
    <w:r w:rsidR="003A3B65" w:rsidRPr="00A15F34">
      <w:rPr>
        <w:spacing w:val="0"/>
        <w:kern w:val="2"/>
        <w:sz w:val="20"/>
      </w:rPr>
      <w:t>-HCCN</w:t>
    </w:r>
    <w:r w:rsidRPr="00A15F34">
      <w:rPr>
        <w:spacing w:val="0"/>
        <w:kern w:val="2"/>
        <w:sz w:val="20"/>
      </w:rPr>
      <w:t xml:space="preserve"> Risk Areas</w:t>
    </w:r>
  </w:p>
  <w:p w:rsidR="00E60E37" w:rsidRPr="00014E7E" w:rsidRDefault="00E60E37" w:rsidP="00E60E37">
    <w:pPr>
      <w:pBdr>
        <w:bottom w:val="single" w:sz="12" w:space="0" w:color="auto"/>
      </w:pBdr>
      <w:jc w:val="center"/>
      <w:rPr>
        <w:sz w:val="20"/>
      </w:rPr>
    </w:pPr>
    <w:r w:rsidRPr="00A15F34">
      <w:rPr>
        <w:spacing w:val="0"/>
        <w:kern w:val="2"/>
        <w:sz w:val="20"/>
      </w:rPr>
      <w:t>Product Development</w:t>
    </w:r>
  </w:p>
  <w:p w:rsidR="00E60E37" w:rsidRPr="00014E7E" w:rsidRDefault="00E60E37" w:rsidP="00E60E37">
    <w:pPr>
      <w:pBdr>
        <w:bottom w:val="single" w:sz="12" w:space="0" w:color="auto"/>
      </w:pBdr>
      <w:jc w:val="center"/>
      <w:rPr>
        <w:sz w:val="20"/>
      </w:rPr>
    </w:pPr>
  </w:p>
  <w:p w:rsidR="00E60E37" w:rsidRDefault="00E60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C3C"/>
    <w:multiLevelType w:val="hybridMultilevel"/>
    <w:tmpl w:val="999C62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6A"/>
    <w:rsid w:val="0000738F"/>
    <w:rsid w:val="000B4285"/>
    <w:rsid w:val="0012667E"/>
    <w:rsid w:val="00186080"/>
    <w:rsid w:val="00202708"/>
    <w:rsid w:val="0023445B"/>
    <w:rsid w:val="00235D7B"/>
    <w:rsid w:val="002965B9"/>
    <w:rsid w:val="002E3F7F"/>
    <w:rsid w:val="003154E7"/>
    <w:rsid w:val="00324D3D"/>
    <w:rsid w:val="0036018B"/>
    <w:rsid w:val="0037405E"/>
    <w:rsid w:val="00391774"/>
    <w:rsid w:val="003A3B65"/>
    <w:rsid w:val="00402749"/>
    <w:rsid w:val="00405777"/>
    <w:rsid w:val="00425550"/>
    <w:rsid w:val="005A3BC0"/>
    <w:rsid w:val="005C0006"/>
    <w:rsid w:val="005E1986"/>
    <w:rsid w:val="005F1106"/>
    <w:rsid w:val="00603131"/>
    <w:rsid w:val="00636361"/>
    <w:rsid w:val="0066208A"/>
    <w:rsid w:val="00673ECA"/>
    <w:rsid w:val="006B17FF"/>
    <w:rsid w:val="007625CD"/>
    <w:rsid w:val="007F6206"/>
    <w:rsid w:val="00800632"/>
    <w:rsid w:val="00855E84"/>
    <w:rsid w:val="0086784A"/>
    <w:rsid w:val="008A7438"/>
    <w:rsid w:val="00914D44"/>
    <w:rsid w:val="00920444"/>
    <w:rsid w:val="009312AA"/>
    <w:rsid w:val="00947EDD"/>
    <w:rsid w:val="00957401"/>
    <w:rsid w:val="009B0C65"/>
    <w:rsid w:val="009B4D18"/>
    <w:rsid w:val="009E5C40"/>
    <w:rsid w:val="009E6832"/>
    <w:rsid w:val="00A03417"/>
    <w:rsid w:val="00A15F34"/>
    <w:rsid w:val="00AA04B4"/>
    <w:rsid w:val="00AA236A"/>
    <w:rsid w:val="00B75F95"/>
    <w:rsid w:val="00B85FAB"/>
    <w:rsid w:val="00BB3CC4"/>
    <w:rsid w:val="00BD23E9"/>
    <w:rsid w:val="00C76E61"/>
    <w:rsid w:val="00CC44B3"/>
    <w:rsid w:val="00D02674"/>
    <w:rsid w:val="00D503B5"/>
    <w:rsid w:val="00DA5DD4"/>
    <w:rsid w:val="00DB2F67"/>
    <w:rsid w:val="00E3131F"/>
    <w:rsid w:val="00E60E37"/>
    <w:rsid w:val="00EE1D0A"/>
    <w:rsid w:val="00F51911"/>
    <w:rsid w:val="00F64505"/>
    <w:rsid w:val="00F70EC8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236A"/>
    <w:pPr>
      <w:keepNext/>
      <w:jc w:val="both"/>
      <w:outlineLvl w:val="2"/>
    </w:pPr>
    <w:rPr>
      <w:bCs w:val="0"/>
      <w:spacing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AA236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37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37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7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CA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6A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236A"/>
    <w:pPr>
      <w:keepNext/>
      <w:jc w:val="both"/>
      <w:outlineLvl w:val="2"/>
    </w:pPr>
    <w:rPr>
      <w:bCs w:val="0"/>
      <w:spacing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AA236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67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37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37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7"/>
    <w:rPr>
      <w:rFonts w:ascii="Tahoma" w:eastAsia="Times New Roman" w:hAnsi="Tahoma" w:cs="Tahoma"/>
      <w:bCs/>
      <w:spacing w:val="-3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CA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01F8-2D55-4A21-8A40-78B607B1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4</cp:revision>
  <cp:lastPrinted>2015-11-12T20:23:00Z</cp:lastPrinted>
  <dcterms:created xsi:type="dcterms:W3CDTF">2015-11-12T19:55:00Z</dcterms:created>
  <dcterms:modified xsi:type="dcterms:W3CDTF">2015-11-12T20:30:00Z</dcterms:modified>
</cp:coreProperties>
</file>