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91" w:rsidRPr="00BB3CA3" w:rsidRDefault="00651491" w:rsidP="00B42552">
      <w:pPr>
        <w:jc w:val="center"/>
        <w:rPr>
          <w:bCs w:val="0"/>
          <w:i/>
          <w:iCs/>
          <w:spacing w:val="0"/>
          <w:kern w:val="2"/>
          <w:sz w:val="32"/>
        </w:rPr>
      </w:pPr>
      <w:r w:rsidRPr="00BB3CA3">
        <w:rPr>
          <w:b/>
          <w:bCs w:val="0"/>
          <w:iCs/>
          <w:spacing w:val="0"/>
          <w:kern w:val="2"/>
          <w:sz w:val="32"/>
        </w:rPr>
        <w:t xml:space="preserve">Subrecipient Arrangements:  </w:t>
      </w:r>
      <w:r w:rsidRPr="00BB3CA3">
        <w:rPr>
          <w:b/>
          <w:spacing w:val="0"/>
          <w:kern w:val="2"/>
          <w:sz w:val="32"/>
        </w:rPr>
        <w:t>Introductory Guidance</w:t>
      </w:r>
    </w:p>
    <w:p w:rsidR="00651491" w:rsidRPr="00BB3CA3" w:rsidRDefault="00651491" w:rsidP="00651491">
      <w:pPr>
        <w:pBdr>
          <w:bottom w:val="single" w:sz="12" w:space="1" w:color="auto"/>
        </w:pBdr>
        <w:autoSpaceDE w:val="0"/>
        <w:autoSpaceDN w:val="0"/>
        <w:adjustRightInd w:val="0"/>
        <w:ind w:right="-20"/>
        <w:rPr>
          <w:b/>
          <w:bCs w:val="0"/>
          <w:spacing w:val="0"/>
          <w:kern w:val="2"/>
        </w:rPr>
      </w:pPr>
    </w:p>
    <w:p w:rsidR="00F91305" w:rsidRPr="00BB3CA3" w:rsidRDefault="00F91305" w:rsidP="00F91305">
      <w:pPr>
        <w:ind w:left="720"/>
        <w:rPr>
          <w:b/>
          <w:bCs w:val="0"/>
          <w:iCs/>
          <w:spacing w:val="0"/>
          <w:kern w:val="2"/>
        </w:rPr>
      </w:pPr>
    </w:p>
    <w:p w:rsidR="00F91305" w:rsidRPr="00BB3CA3" w:rsidRDefault="00F91305" w:rsidP="00A85DFD">
      <w:pPr>
        <w:jc w:val="both"/>
        <w:rPr>
          <w:b/>
          <w:bCs w:val="0"/>
          <w:iCs/>
          <w:spacing w:val="0"/>
          <w:kern w:val="2"/>
        </w:rPr>
      </w:pPr>
      <w:r w:rsidRPr="00BB3CA3">
        <w:rPr>
          <w:b/>
          <w:bCs w:val="0"/>
          <w:iCs/>
          <w:spacing w:val="0"/>
          <w:kern w:val="2"/>
        </w:rPr>
        <w:t>Background</w:t>
      </w:r>
    </w:p>
    <w:p w:rsidR="00F91305" w:rsidRPr="00BB3CA3" w:rsidRDefault="00F91305" w:rsidP="00A85DFD">
      <w:pPr>
        <w:jc w:val="both"/>
        <w:rPr>
          <w:bCs w:val="0"/>
          <w:spacing w:val="0"/>
          <w:kern w:val="2"/>
        </w:rPr>
      </w:pPr>
    </w:p>
    <w:p w:rsidR="00624AB5" w:rsidRPr="00BB3CA3" w:rsidRDefault="00F91305" w:rsidP="00A85DFD">
      <w:pPr>
        <w:jc w:val="both"/>
        <w:rPr>
          <w:bCs w:val="0"/>
          <w:spacing w:val="0"/>
          <w:kern w:val="2"/>
        </w:rPr>
      </w:pPr>
      <w:r w:rsidRPr="00BB3CA3">
        <w:rPr>
          <w:bCs w:val="0"/>
          <w:spacing w:val="0"/>
          <w:kern w:val="2"/>
        </w:rPr>
        <w:t>Under certain circums</w:t>
      </w:r>
      <w:r w:rsidR="0089674B" w:rsidRPr="00BB3CA3">
        <w:rPr>
          <w:bCs w:val="0"/>
          <w:spacing w:val="0"/>
          <w:kern w:val="2"/>
        </w:rPr>
        <w:t xml:space="preserve">tances, </w:t>
      </w:r>
      <w:r w:rsidR="00B42552" w:rsidRPr="00BB3CA3">
        <w:rPr>
          <w:spacing w:val="0"/>
          <w:kern w:val="2"/>
        </w:rPr>
        <w:t xml:space="preserve">a </w:t>
      </w:r>
      <w:r w:rsidRPr="00BB3CA3">
        <w:rPr>
          <w:spacing w:val="0"/>
          <w:kern w:val="2"/>
        </w:rPr>
        <w:t>PCA</w:t>
      </w:r>
      <w:r w:rsidR="00B42552" w:rsidRPr="00BB3CA3">
        <w:rPr>
          <w:spacing w:val="0"/>
          <w:kern w:val="2"/>
        </w:rPr>
        <w:t>-HCCN</w:t>
      </w:r>
      <w:r w:rsidRPr="00BB3CA3">
        <w:rPr>
          <w:spacing w:val="0"/>
          <w:kern w:val="2"/>
        </w:rPr>
        <w:t xml:space="preserve"> may secure a federal, state or private foundation grant, on behalf of its members, and, in turn, disburse or “pass-through” the funds to one (or a group) of its members to administer and perform the funded programs/activities.  Alternatively, an individual member may receive the grant award (e.g., Health Center Controlled Network planning and development funds, other BPHC grants) a</w:t>
      </w:r>
      <w:r w:rsidR="00624AB5" w:rsidRPr="00BB3CA3">
        <w:rPr>
          <w:spacing w:val="0"/>
          <w:kern w:val="2"/>
        </w:rPr>
        <w:t xml:space="preserve">nd disburse the funds to the </w:t>
      </w:r>
      <w:r w:rsidRPr="00BB3CA3">
        <w:rPr>
          <w:spacing w:val="0"/>
          <w:kern w:val="2"/>
        </w:rPr>
        <w:t>PCA</w:t>
      </w:r>
      <w:r w:rsidR="00624AB5" w:rsidRPr="00BB3CA3">
        <w:rPr>
          <w:spacing w:val="0"/>
          <w:kern w:val="2"/>
        </w:rPr>
        <w:t>-HCCN</w:t>
      </w:r>
      <w:r w:rsidRPr="00BB3CA3">
        <w:rPr>
          <w:bCs w:val="0"/>
          <w:spacing w:val="0"/>
          <w:kern w:val="2"/>
        </w:rPr>
        <w:t xml:space="preserve"> to operate and/or perform the funded activities.  Under either scenario, one party is the “recipient” of the grant funds while the other party is the “subrecipient.”</w:t>
      </w:r>
    </w:p>
    <w:p w:rsidR="00624AB5" w:rsidRPr="00BB3CA3" w:rsidRDefault="00624AB5" w:rsidP="00A85DFD">
      <w:pPr>
        <w:jc w:val="both"/>
        <w:rPr>
          <w:bCs w:val="0"/>
          <w:spacing w:val="0"/>
          <w:kern w:val="2"/>
        </w:rPr>
      </w:pPr>
    </w:p>
    <w:p w:rsidR="00F91305" w:rsidRPr="00BB3CA3" w:rsidRDefault="00F91305" w:rsidP="00A85DFD">
      <w:pPr>
        <w:jc w:val="both"/>
        <w:rPr>
          <w:bCs w:val="0"/>
          <w:spacing w:val="0"/>
          <w:kern w:val="2"/>
        </w:rPr>
      </w:pPr>
      <w:r w:rsidRPr="00BB3CA3">
        <w:rPr>
          <w:bCs w:val="0"/>
          <w:spacing w:val="0"/>
          <w:kern w:val="2"/>
        </w:rPr>
        <w:t>Subawards/subrecipient arrangements are distinct from the contract/vendor model, chiefly because of the nature of the “deliverable” under the operative agreement. Whereas a subaward will, in effect, delegate responsibility for implementing program purposes, a contractor or vendor relationship involves the purchase of goods or services by an awardee for the benefit of the awardee. This leaves the awardee to perform the grant-funded activities.</w:t>
      </w:r>
      <w:r w:rsidRPr="00BB3CA3">
        <w:rPr>
          <w:rStyle w:val="FootnoteReference"/>
          <w:spacing w:val="0"/>
          <w:kern w:val="2"/>
        </w:rPr>
        <w:footnoteReference w:id="1"/>
      </w:r>
    </w:p>
    <w:p w:rsidR="00F91305" w:rsidRPr="00BB3CA3" w:rsidRDefault="00F91305" w:rsidP="00A85DFD">
      <w:pPr>
        <w:jc w:val="both"/>
        <w:rPr>
          <w:spacing w:val="0"/>
          <w:kern w:val="2"/>
        </w:rPr>
      </w:pPr>
    </w:p>
    <w:p w:rsidR="00624AB5" w:rsidRPr="00BB3CA3" w:rsidRDefault="00F91305" w:rsidP="00A85DFD">
      <w:pPr>
        <w:jc w:val="both"/>
        <w:rPr>
          <w:spacing w:val="0"/>
          <w:kern w:val="2"/>
        </w:rPr>
      </w:pPr>
      <w:r w:rsidRPr="00BB3CA3">
        <w:rPr>
          <w:spacing w:val="0"/>
          <w:kern w:val="2"/>
        </w:rPr>
        <w:t xml:space="preserve">Administrative regulations promulgated by the </w:t>
      </w:r>
      <w:r w:rsidR="00BE6E4A" w:rsidRPr="00BB3CA3">
        <w:rPr>
          <w:spacing w:val="0"/>
          <w:kern w:val="2"/>
        </w:rPr>
        <w:t xml:space="preserve">U.S. </w:t>
      </w:r>
      <w:r w:rsidRPr="00BB3CA3">
        <w:rPr>
          <w:spacing w:val="0"/>
          <w:kern w:val="2"/>
        </w:rPr>
        <w:t>Department of Health and Human Services (“DHHS”) define a “subrecipient” as a “a non-Federal entity that receives a subaward from a pass-through entity to carry out part of a Federal program . . . .” Further, a “subaward” is defined as “an award</w:t>
      </w:r>
      <w:r w:rsidRPr="00BB3CA3">
        <w:rPr>
          <w:spacing w:val="0"/>
          <w:kern w:val="2"/>
          <w:vertAlign w:val="superscript"/>
        </w:rPr>
        <w:t xml:space="preserve"> </w:t>
      </w:r>
      <w:r w:rsidRPr="00BB3CA3">
        <w:rPr>
          <w:spacing w:val="0"/>
          <w:kern w:val="2"/>
        </w:rPr>
        <w:t>provided by a pass-through entity to a subrecipient for the subrecipient to carry out part of a Federal award received by the pass-through entity.”</w:t>
      </w:r>
    </w:p>
    <w:p w:rsidR="00624AB5" w:rsidRPr="00BB3CA3" w:rsidRDefault="00624AB5" w:rsidP="00A85DFD">
      <w:pPr>
        <w:jc w:val="both"/>
        <w:rPr>
          <w:spacing w:val="0"/>
          <w:kern w:val="2"/>
        </w:rPr>
      </w:pPr>
    </w:p>
    <w:p w:rsidR="00F91305" w:rsidRPr="00BB3CA3" w:rsidRDefault="00BE6E4A" w:rsidP="00A85DFD">
      <w:pPr>
        <w:jc w:val="both"/>
        <w:rPr>
          <w:spacing w:val="0"/>
          <w:kern w:val="2"/>
        </w:rPr>
      </w:pPr>
      <w:r w:rsidRPr="00BB3CA3">
        <w:rPr>
          <w:spacing w:val="0"/>
          <w:kern w:val="2"/>
        </w:rPr>
        <w:t xml:space="preserve">The </w:t>
      </w:r>
      <w:r w:rsidR="00F91305" w:rsidRPr="00BB3CA3">
        <w:rPr>
          <w:spacing w:val="0"/>
          <w:kern w:val="2"/>
        </w:rPr>
        <w:t xml:space="preserve">requirements of </w:t>
      </w:r>
      <w:r w:rsidRPr="00BB3CA3">
        <w:rPr>
          <w:spacing w:val="0"/>
          <w:kern w:val="2"/>
        </w:rPr>
        <w:t xml:space="preserve">45 C.F.R. </w:t>
      </w:r>
      <w:r w:rsidR="00F91305" w:rsidRPr="00BB3CA3">
        <w:rPr>
          <w:spacing w:val="0"/>
          <w:kern w:val="2"/>
        </w:rPr>
        <w:t xml:space="preserve">Part </w:t>
      </w:r>
      <w:r w:rsidRPr="00BB3CA3">
        <w:rPr>
          <w:spacing w:val="0"/>
          <w:kern w:val="2"/>
        </w:rPr>
        <w:t xml:space="preserve">75 apply to all subawards that </w:t>
      </w:r>
      <w:r w:rsidR="0019548F" w:rsidRPr="00BB3CA3">
        <w:rPr>
          <w:spacing w:val="0"/>
          <w:kern w:val="2"/>
        </w:rPr>
        <w:t>a</w:t>
      </w:r>
      <w:r w:rsidRPr="00BB3CA3">
        <w:rPr>
          <w:spacing w:val="0"/>
          <w:kern w:val="2"/>
        </w:rPr>
        <w:t xml:space="preserve"> </w:t>
      </w:r>
      <w:r w:rsidR="001C2759" w:rsidRPr="00BB3CA3">
        <w:rPr>
          <w:spacing w:val="0"/>
          <w:kern w:val="2"/>
        </w:rPr>
        <w:t>PCA</w:t>
      </w:r>
      <w:r w:rsidR="00624AB5" w:rsidRPr="00BB3CA3">
        <w:rPr>
          <w:spacing w:val="0"/>
          <w:kern w:val="2"/>
        </w:rPr>
        <w:t>-HCCN</w:t>
      </w:r>
      <w:r w:rsidRPr="00BB3CA3">
        <w:rPr>
          <w:spacing w:val="0"/>
          <w:kern w:val="2"/>
        </w:rPr>
        <w:t xml:space="preserve"> either receives or makes under a DHHS award.</w:t>
      </w:r>
      <w:r w:rsidRPr="00BB3CA3">
        <w:rPr>
          <w:rStyle w:val="FootnoteReference"/>
          <w:spacing w:val="0"/>
          <w:kern w:val="2"/>
        </w:rPr>
        <w:footnoteReference w:id="2"/>
      </w:r>
      <w:r w:rsidRPr="00BB3CA3">
        <w:rPr>
          <w:spacing w:val="0"/>
          <w:kern w:val="2"/>
        </w:rPr>
        <w:t xml:space="preserve"> As such, </w:t>
      </w:r>
      <w:r w:rsidR="00624AB5" w:rsidRPr="00BB3CA3">
        <w:rPr>
          <w:spacing w:val="0"/>
          <w:kern w:val="2"/>
        </w:rPr>
        <w:t xml:space="preserve">a </w:t>
      </w:r>
      <w:r w:rsidR="001C2759" w:rsidRPr="00BB3CA3">
        <w:rPr>
          <w:spacing w:val="0"/>
          <w:kern w:val="2"/>
        </w:rPr>
        <w:t>PCA</w:t>
      </w:r>
      <w:r w:rsidR="00624AB5" w:rsidRPr="00BB3CA3">
        <w:rPr>
          <w:spacing w:val="0"/>
          <w:kern w:val="2"/>
        </w:rPr>
        <w:t>-HCCN</w:t>
      </w:r>
      <w:r w:rsidRPr="00BB3CA3">
        <w:rPr>
          <w:spacing w:val="0"/>
          <w:kern w:val="2"/>
        </w:rPr>
        <w:t xml:space="preserve"> serving as a subrecipient for DHHS</w:t>
      </w:r>
      <w:r w:rsidR="00F91305" w:rsidRPr="00BB3CA3">
        <w:rPr>
          <w:spacing w:val="0"/>
          <w:kern w:val="2"/>
        </w:rPr>
        <w:t xml:space="preserve"> grant funds m</w:t>
      </w:r>
      <w:r w:rsidR="0089674B" w:rsidRPr="00BB3CA3">
        <w:rPr>
          <w:spacing w:val="0"/>
          <w:kern w:val="2"/>
        </w:rPr>
        <w:t xml:space="preserve">ust comply with the </w:t>
      </w:r>
      <w:r w:rsidRPr="00BB3CA3">
        <w:rPr>
          <w:spacing w:val="0"/>
          <w:kern w:val="2"/>
        </w:rPr>
        <w:t>administrative requirements and cost principles contained in 45 C.F.R. Part 75</w:t>
      </w:r>
      <w:r w:rsidR="00F91305" w:rsidRPr="00BB3CA3">
        <w:rPr>
          <w:spacing w:val="0"/>
          <w:kern w:val="2"/>
        </w:rPr>
        <w:t xml:space="preserve"> as though it has received the award direc</w:t>
      </w:r>
      <w:r w:rsidR="0089674B" w:rsidRPr="00BB3CA3">
        <w:rPr>
          <w:spacing w:val="0"/>
          <w:kern w:val="2"/>
        </w:rPr>
        <w:t xml:space="preserve">tly from DHHS. </w:t>
      </w:r>
      <w:r w:rsidRPr="00BB3CA3">
        <w:rPr>
          <w:spacing w:val="0"/>
          <w:kern w:val="2"/>
        </w:rPr>
        <w:t xml:space="preserve">When acting as a pass-through entity distributing DHHS dollars to subrecipients through subawards, </w:t>
      </w:r>
      <w:r w:rsidR="00624AB5" w:rsidRPr="00BB3CA3">
        <w:rPr>
          <w:spacing w:val="0"/>
          <w:kern w:val="2"/>
        </w:rPr>
        <w:t xml:space="preserve">a </w:t>
      </w:r>
      <w:r w:rsidR="001C2759" w:rsidRPr="00BB3CA3">
        <w:rPr>
          <w:spacing w:val="0"/>
          <w:kern w:val="2"/>
        </w:rPr>
        <w:t>PCA</w:t>
      </w:r>
      <w:r w:rsidR="00624AB5" w:rsidRPr="00BB3CA3">
        <w:rPr>
          <w:spacing w:val="0"/>
          <w:kern w:val="2"/>
        </w:rPr>
        <w:t>-HCCN</w:t>
      </w:r>
      <w:r w:rsidRPr="00BB3CA3">
        <w:rPr>
          <w:spacing w:val="0"/>
          <w:kern w:val="2"/>
        </w:rPr>
        <w:t xml:space="preserve"> assumes responsibility for monitoring and oversight to ensure that subrecipients comply with their obligations under the law and the terms and conditions of the subrecipient agreement with the</w:t>
      </w:r>
      <w:r w:rsidR="00624AB5" w:rsidRPr="00BB3CA3">
        <w:rPr>
          <w:spacing w:val="0"/>
          <w:kern w:val="2"/>
        </w:rPr>
        <w:t xml:space="preserve"> </w:t>
      </w:r>
      <w:r w:rsidR="001C2759" w:rsidRPr="00BB3CA3">
        <w:rPr>
          <w:spacing w:val="0"/>
          <w:kern w:val="2"/>
        </w:rPr>
        <w:t>PCA</w:t>
      </w:r>
      <w:r w:rsidR="006176E2" w:rsidRPr="00BB3CA3">
        <w:rPr>
          <w:spacing w:val="0"/>
          <w:kern w:val="2"/>
        </w:rPr>
        <w:t>-HCCN</w:t>
      </w:r>
      <w:r w:rsidRPr="00BB3CA3">
        <w:rPr>
          <w:spacing w:val="0"/>
          <w:kern w:val="2"/>
        </w:rPr>
        <w:t>. The</w:t>
      </w:r>
      <w:r w:rsidR="00F91305" w:rsidRPr="00BB3CA3">
        <w:rPr>
          <w:spacing w:val="0"/>
          <w:kern w:val="2"/>
        </w:rPr>
        <w:t xml:space="preserve"> recipient must:</w:t>
      </w:r>
    </w:p>
    <w:p w:rsidR="00F91305" w:rsidRPr="00BB3CA3" w:rsidRDefault="00F91305" w:rsidP="00A85DFD">
      <w:pPr>
        <w:jc w:val="both"/>
        <w:rPr>
          <w:spacing w:val="0"/>
          <w:kern w:val="2"/>
        </w:rPr>
      </w:pPr>
    </w:p>
    <w:p w:rsidR="00F91305" w:rsidRPr="00BB3CA3" w:rsidRDefault="00F91305" w:rsidP="0019548F">
      <w:pPr>
        <w:pStyle w:val="ListParagraph"/>
        <w:numPr>
          <w:ilvl w:val="0"/>
          <w:numId w:val="5"/>
        </w:numPr>
        <w:ind w:left="1080"/>
        <w:jc w:val="both"/>
        <w:rPr>
          <w:spacing w:val="0"/>
          <w:kern w:val="2"/>
        </w:rPr>
      </w:pPr>
      <w:r w:rsidRPr="00BB3CA3">
        <w:rPr>
          <w:spacing w:val="0"/>
          <w:kern w:val="2"/>
        </w:rPr>
        <w:t>Advise all subrecipients of the r</w:t>
      </w:r>
      <w:r w:rsidR="0089674B" w:rsidRPr="00BB3CA3">
        <w:rPr>
          <w:spacing w:val="0"/>
          <w:kern w:val="2"/>
        </w:rPr>
        <w:t>equirements imposed on them by f</w:t>
      </w:r>
      <w:r w:rsidRPr="00BB3CA3">
        <w:rPr>
          <w:spacing w:val="0"/>
          <w:kern w:val="2"/>
        </w:rPr>
        <w:t xml:space="preserve">ederal law and regulation and by the terms of contracts and grant agreements (as well as additional requirements imposed by the recipient).  </w:t>
      </w:r>
    </w:p>
    <w:p w:rsidR="00F91305" w:rsidRPr="00BB3CA3" w:rsidRDefault="00F91305" w:rsidP="0019548F">
      <w:pPr>
        <w:pStyle w:val="ListParagraph"/>
        <w:numPr>
          <w:ilvl w:val="0"/>
          <w:numId w:val="5"/>
        </w:numPr>
        <w:ind w:left="1080"/>
        <w:jc w:val="both"/>
        <w:rPr>
          <w:spacing w:val="0"/>
          <w:kern w:val="2"/>
        </w:rPr>
      </w:pPr>
      <w:r w:rsidRPr="00BB3CA3">
        <w:rPr>
          <w:spacing w:val="0"/>
          <w:kern w:val="2"/>
        </w:rPr>
        <w:t>Monitor the activities of t</w:t>
      </w:r>
      <w:r w:rsidR="0089674B" w:rsidRPr="00BB3CA3">
        <w:rPr>
          <w:spacing w:val="0"/>
          <w:kern w:val="2"/>
        </w:rPr>
        <w:t>he subrecipient and its use of f</w:t>
      </w:r>
      <w:r w:rsidRPr="00BB3CA3">
        <w:rPr>
          <w:spacing w:val="0"/>
          <w:kern w:val="2"/>
        </w:rPr>
        <w:t>ederal grant funds to ensure compliance.</w:t>
      </w:r>
    </w:p>
    <w:p w:rsidR="00F91305" w:rsidRPr="00BB3CA3" w:rsidRDefault="00F91305" w:rsidP="0019548F">
      <w:pPr>
        <w:pStyle w:val="ListParagraph"/>
        <w:numPr>
          <w:ilvl w:val="0"/>
          <w:numId w:val="5"/>
        </w:numPr>
        <w:ind w:left="1080"/>
        <w:jc w:val="both"/>
        <w:rPr>
          <w:spacing w:val="0"/>
          <w:kern w:val="2"/>
        </w:rPr>
      </w:pPr>
      <w:r w:rsidRPr="00BB3CA3">
        <w:rPr>
          <w:spacing w:val="0"/>
          <w:kern w:val="2"/>
        </w:rPr>
        <w:lastRenderedPageBreak/>
        <w:t>Ensure that any subrecipient</w:t>
      </w:r>
      <w:r w:rsidR="0089674B" w:rsidRPr="00BB3CA3">
        <w:rPr>
          <w:spacing w:val="0"/>
          <w:kern w:val="2"/>
        </w:rPr>
        <w:t xml:space="preserve"> expending more </w:t>
      </w:r>
      <w:r w:rsidRPr="00BB3CA3">
        <w:rPr>
          <w:spacing w:val="0"/>
          <w:kern w:val="2"/>
        </w:rPr>
        <w:t>than the applicable threshold (</w:t>
      </w:r>
      <w:r w:rsidRPr="00BB3CA3">
        <w:rPr>
          <w:spacing w:val="0"/>
          <w:kern w:val="2"/>
          <w:u w:val="single"/>
        </w:rPr>
        <w:t>see</w:t>
      </w:r>
      <w:r w:rsidRPr="00BB3CA3">
        <w:rPr>
          <w:spacing w:val="0"/>
          <w:kern w:val="2"/>
        </w:rPr>
        <w:t xml:space="preserve"> </w:t>
      </w:r>
      <w:hyperlink r:id="rId9" w:history="1">
        <w:r w:rsidR="006176E2" w:rsidRPr="00BB3CA3">
          <w:rPr>
            <w:rStyle w:val="Hyperlink"/>
            <w:spacing w:val="0"/>
            <w:kern w:val="2"/>
          </w:rPr>
          <w:t>Federal audit requirements: Introductory guidance</w:t>
        </w:r>
      </w:hyperlink>
      <w:r w:rsidRPr="00BB3CA3">
        <w:rPr>
          <w:spacing w:val="0"/>
          <w:kern w:val="2"/>
        </w:rPr>
        <w:t xml:space="preserve">) </w:t>
      </w:r>
      <w:r w:rsidR="0089674B" w:rsidRPr="00BB3CA3">
        <w:rPr>
          <w:spacing w:val="0"/>
          <w:kern w:val="2"/>
        </w:rPr>
        <w:t>in f</w:t>
      </w:r>
      <w:r w:rsidRPr="00BB3CA3">
        <w:rPr>
          <w:spacing w:val="0"/>
          <w:kern w:val="2"/>
        </w:rPr>
        <w:t xml:space="preserve">ederal grant funds during the entity’s fiscal year conducts an annual audit in accordance with the requirements set forth in either OMB Circular A-133 or 45 C.F.R. Part 75 Subpart F. </w:t>
      </w:r>
    </w:p>
    <w:p w:rsidR="00F91305" w:rsidRPr="00BB3CA3" w:rsidRDefault="00F91305" w:rsidP="0019548F">
      <w:pPr>
        <w:pStyle w:val="ListParagraph"/>
        <w:numPr>
          <w:ilvl w:val="0"/>
          <w:numId w:val="5"/>
        </w:numPr>
        <w:ind w:left="1080"/>
        <w:jc w:val="both"/>
        <w:rPr>
          <w:spacing w:val="0"/>
          <w:kern w:val="2"/>
        </w:rPr>
      </w:pPr>
      <w:r w:rsidRPr="00BB3CA3">
        <w:rPr>
          <w:spacing w:val="0"/>
          <w:kern w:val="2"/>
        </w:rPr>
        <w:t xml:space="preserve">Require the subrecipient to permit the recipient and the auditors to have access to records and financial statements as necessary to comply with applicable audit requirements. </w:t>
      </w:r>
    </w:p>
    <w:p w:rsidR="00F91305" w:rsidRPr="00BB3CA3" w:rsidRDefault="00F91305" w:rsidP="00A85DFD">
      <w:pPr>
        <w:jc w:val="both"/>
        <w:rPr>
          <w:bCs w:val="0"/>
          <w:iCs/>
          <w:spacing w:val="0"/>
          <w:kern w:val="2"/>
        </w:rPr>
      </w:pPr>
      <w:r w:rsidRPr="00BB3CA3">
        <w:rPr>
          <w:bCs w:val="0"/>
          <w:iCs/>
          <w:spacing w:val="0"/>
          <w:kern w:val="2"/>
        </w:rPr>
        <w:tab/>
      </w:r>
    </w:p>
    <w:p w:rsidR="00F91305" w:rsidRPr="00BB3CA3" w:rsidRDefault="00E765A1" w:rsidP="00A85DFD">
      <w:pPr>
        <w:jc w:val="both"/>
        <w:rPr>
          <w:b/>
          <w:bCs w:val="0"/>
          <w:iCs/>
          <w:spacing w:val="0"/>
          <w:kern w:val="2"/>
        </w:rPr>
      </w:pPr>
      <w:r w:rsidRPr="00BB3CA3">
        <w:rPr>
          <w:b/>
          <w:spacing w:val="0"/>
          <w:kern w:val="2"/>
        </w:rPr>
        <w:t>Advice and Recommendations</w:t>
      </w:r>
      <w:r w:rsidR="000D1D31" w:rsidRPr="00BB3CA3">
        <w:rPr>
          <w:rStyle w:val="FootnoteReference"/>
          <w:b/>
          <w:bCs w:val="0"/>
          <w:iCs/>
          <w:spacing w:val="0"/>
          <w:kern w:val="2"/>
        </w:rPr>
        <w:footnoteReference w:id="3"/>
      </w:r>
    </w:p>
    <w:p w:rsidR="00F91305" w:rsidRPr="00BB3CA3" w:rsidRDefault="00F91305" w:rsidP="00A85DFD">
      <w:pPr>
        <w:ind w:firstLine="720"/>
        <w:jc w:val="both"/>
        <w:rPr>
          <w:bCs w:val="0"/>
          <w:iCs/>
          <w:spacing w:val="0"/>
          <w:kern w:val="2"/>
        </w:rPr>
      </w:pPr>
    </w:p>
    <w:p w:rsidR="00F91305" w:rsidRPr="00BB3CA3" w:rsidRDefault="00F91305" w:rsidP="00A85DFD">
      <w:pPr>
        <w:jc w:val="both"/>
        <w:rPr>
          <w:spacing w:val="0"/>
          <w:kern w:val="2"/>
        </w:rPr>
      </w:pPr>
      <w:r w:rsidRPr="00BB3CA3">
        <w:rPr>
          <w:spacing w:val="0"/>
          <w:kern w:val="2"/>
        </w:rPr>
        <w:t>As discussed above, under a subrecipient arrangement, the recipient “passes-thro</w:t>
      </w:r>
      <w:r w:rsidR="0089674B" w:rsidRPr="00BB3CA3">
        <w:rPr>
          <w:spacing w:val="0"/>
          <w:kern w:val="2"/>
        </w:rPr>
        <w:t>ugh” a portion (or all) of its f</w:t>
      </w:r>
      <w:r w:rsidRPr="00BB3CA3">
        <w:rPr>
          <w:spacing w:val="0"/>
          <w:kern w:val="2"/>
        </w:rPr>
        <w:t>ederal grant funds to the subreci</w:t>
      </w:r>
      <w:r w:rsidR="0089674B" w:rsidRPr="00BB3CA3">
        <w:rPr>
          <w:spacing w:val="0"/>
          <w:kern w:val="2"/>
        </w:rPr>
        <w:t>pient entity; accordingly, all f</w:t>
      </w:r>
      <w:r w:rsidRPr="00BB3CA3">
        <w:rPr>
          <w:spacing w:val="0"/>
          <w:kern w:val="2"/>
        </w:rPr>
        <w:t xml:space="preserve">ederal rules, regulations and policies that apply to the recipient in connection with such funds (including 45 C.F.R. Part 75 and specific grant terms and conditions) apply equally to the subrecipient entity. </w:t>
      </w:r>
    </w:p>
    <w:p w:rsidR="00F91305" w:rsidRPr="00BB3CA3" w:rsidRDefault="00F91305" w:rsidP="00A85DFD">
      <w:pPr>
        <w:jc w:val="both"/>
        <w:rPr>
          <w:spacing w:val="0"/>
          <w:kern w:val="2"/>
        </w:rPr>
      </w:pPr>
    </w:p>
    <w:p w:rsidR="002E0458" w:rsidRPr="00BB3CA3" w:rsidRDefault="00F91305" w:rsidP="00A85DFD">
      <w:pPr>
        <w:widowControl w:val="0"/>
        <w:jc w:val="both"/>
        <w:rPr>
          <w:bCs w:val="0"/>
          <w:snapToGrid w:val="0"/>
          <w:spacing w:val="0"/>
          <w:kern w:val="2"/>
        </w:rPr>
      </w:pPr>
      <w:r w:rsidRPr="00BB3CA3">
        <w:rPr>
          <w:bCs w:val="0"/>
          <w:snapToGrid w:val="0"/>
          <w:spacing w:val="0"/>
          <w:kern w:val="2"/>
        </w:rPr>
        <w:t>As the entity to which the government directly awards the grant funds, the recipient remains accountable a</w:t>
      </w:r>
      <w:r w:rsidR="0089674B" w:rsidRPr="00BB3CA3">
        <w:rPr>
          <w:bCs w:val="0"/>
          <w:snapToGrid w:val="0"/>
          <w:spacing w:val="0"/>
          <w:kern w:val="2"/>
        </w:rPr>
        <w:t>nd fully liable to the Federal G</w:t>
      </w:r>
      <w:r w:rsidRPr="00BB3CA3">
        <w:rPr>
          <w:bCs w:val="0"/>
          <w:snapToGrid w:val="0"/>
          <w:spacing w:val="0"/>
          <w:kern w:val="2"/>
        </w:rPr>
        <w:t>overnment for the subrecipient’s expenditure and use of such funds.  Accordingly, the recipient and the subrecipient should negotiate a subrecipient agreement containing terms and conditions ensuring the accountability and integrity of the recipient r</w:t>
      </w:r>
      <w:r w:rsidR="0089674B" w:rsidRPr="00BB3CA3">
        <w:rPr>
          <w:bCs w:val="0"/>
          <w:snapToGrid w:val="0"/>
          <w:spacing w:val="0"/>
          <w:kern w:val="2"/>
        </w:rPr>
        <w:t>elationship in accordance with f</w:t>
      </w:r>
      <w:r w:rsidRPr="00BB3CA3">
        <w:rPr>
          <w:bCs w:val="0"/>
          <w:snapToGrid w:val="0"/>
          <w:spacing w:val="0"/>
          <w:kern w:val="2"/>
        </w:rPr>
        <w:t xml:space="preserve">ederal requirements.  </w:t>
      </w:r>
    </w:p>
    <w:p w:rsidR="002E0458" w:rsidRPr="00BB3CA3" w:rsidRDefault="002E0458" w:rsidP="00A85DFD">
      <w:pPr>
        <w:widowControl w:val="0"/>
        <w:jc w:val="both"/>
        <w:rPr>
          <w:bCs w:val="0"/>
          <w:snapToGrid w:val="0"/>
          <w:spacing w:val="0"/>
          <w:kern w:val="2"/>
        </w:rPr>
      </w:pPr>
    </w:p>
    <w:p w:rsidR="000B10EE" w:rsidRPr="00BB3CA3" w:rsidRDefault="001C2759" w:rsidP="00A85DFD">
      <w:pPr>
        <w:pStyle w:val="ListParagraph"/>
        <w:widowControl w:val="0"/>
        <w:numPr>
          <w:ilvl w:val="0"/>
          <w:numId w:val="6"/>
        </w:numPr>
        <w:jc w:val="both"/>
        <w:rPr>
          <w:rStyle w:val="Hyperlink"/>
          <w:bCs w:val="0"/>
          <w:snapToGrid w:val="0"/>
          <w:color w:val="auto"/>
          <w:spacing w:val="0"/>
          <w:kern w:val="2"/>
          <w:u w:val="none"/>
        </w:rPr>
      </w:pPr>
      <w:r w:rsidRPr="00BB3CA3">
        <w:rPr>
          <w:bCs w:val="0"/>
          <w:iCs/>
          <w:spacing w:val="0"/>
          <w:kern w:val="2"/>
        </w:rPr>
        <w:fldChar w:fldCharType="begin"/>
      </w:r>
      <w:r w:rsidR="00F3431D" w:rsidRPr="00BB3CA3">
        <w:rPr>
          <w:bCs w:val="0"/>
          <w:iCs/>
          <w:spacing w:val="0"/>
          <w:kern w:val="2"/>
        </w:rPr>
        <w:instrText>HYPERLINK "https://www.healthcentercompliance.com/subscriber/pca-toolkit/volume-2/829"</w:instrText>
      </w:r>
      <w:r w:rsidRPr="00BB3CA3">
        <w:rPr>
          <w:bCs w:val="0"/>
          <w:iCs/>
          <w:spacing w:val="0"/>
          <w:kern w:val="2"/>
        </w:rPr>
        <w:fldChar w:fldCharType="separate"/>
      </w:r>
      <w:r w:rsidRPr="00BB3CA3">
        <w:rPr>
          <w:rStyle w:val="Hyperlink"/>
          <w:bCs w:val="0"/>
          <w:iCs/>
          <w:spacing w:val="0"/>
          <w:kern w:val="2"/>
        </w:rPr>
        <w:t>Terms for subrecipient arrangements: Checklist</w:t>
      </w:r>
    </w:p>
    <w:p w:rsidR="00541560" w:rsidRPr="00BB3CA3" w:rsidRDefault="001C2759" w:rsidP="00A85DFD">
      <w:pPr>
        <w:widowControl w:val="0"/>
        <w:ind w:left="1800"/>
        <w:jc w:val="both"/>
        <w:rPr>
          <w:bCs w:val="0"/>
          <w:snapToGrid w:val="0"/>
          <w:spacing w:val="0"/>
          <w:kern w:val="2"/>
        </w:rPr>
      </w:pPr>
      <w:r w:rsidRPr="00BB3CA3">
        <w:rPr>
          <w:bCs w:val="0"/>
          <w:iCs/>
          <w:spacing w:val="0"/>
          <w:kern w:val="2"/>
        </w:rPr>
        <w:fldChar w:fldCharType="end"/>
      </w:r>
    </w:p>
    <w:p w:rsidR="00F91305" w:rsidRPr="00BB3CA3" w:rsidRDefault="00F91305" w:rsidP="00A85DFD">
      <w:pPr>
        <w:widowControl w:val="0"/>
        <w:jc w:val="both"/>
        <w:rPr>
          <w:snapToGrid w:val="0"/>
          <w:spacing w:val="0"/>
          <w:kern w:val="2"/>
        </w:rPr>
      </w:pPr>
      <w:r w:rsidRPr="00BB3CA3">
        <w:rPr>
          <w:bCs w:val="0"/>
          <w:snapToGrid w:val="0"/>
          <w:spacing w:val="0"/>
          <w:kern w:val="2"/>
        </w:rPr>
        <w:t xml:space="preserve">Generally, the subrecipient agreement should </w:t>
      </w:r>
      <w:r w:rsidRPr="00BB3CA3">
        <w:rPr>
          <w:snapToGrid w:val="0"/>
          <w:spacing w:val="0"/>
          <w:kern w:val="2"/>
        </w:rPr>
        <w:t>recognize that the recipient received the grant from a third party for a defined purpose, which the subrecipient desires to promote and support by performing ministerial duties and providing services consistent with the scope of the grant award.  In consideration of the subrecipient’s performance, the recipient agrees to make the grant funds available to the subrecipient, in accordance with a budget that is consistent with the recipient’s approved budget and has been approved by the recipient prior to implementation.</w:t>
      </w:r>
    </w:p>
    <w:p w:rsidR="00F91305" w:rsidRPr="00BB3CA3" w:rsidRDefault="00F91305" w:rsidP="00A85DFD">
      <w:pPr>
        <w:widowControl w:val="0"/>
        <w:ind w:firstLine="720"/>
        <w:jc w:val="both"/>
        <w:rPr>
          <w:bCs w:val="0"/>
          <w:iCs/>
          <w:snapToGrid w:val="0"/>
          <w:spacing w:val="0"/>
          <w:kern w:val="2"/>
        </w:rPr>
      </w:pPr>
    </w:p>
    <w:p w:rsidR="00F91305" w:rsidRPr="00BB3CA3" w:rsidRDefault="00F91305" w:rsidP="00A85DFD">
      <w:pPr>
        <w:widowControl w:val="0"/>
        <w:jc w:val="both"/>
        <w:rPr>
          <w:bCs w:val="0"/>
          <w:iCs/>
          <w:snapToGrid w:val="0"/>
          <w:spacing w:val="0"/>
          <w:kern w:val="2"/>
        </w:rPr>
      </w:pPr>
      <w:r w:rsidRPr="00BB3CA3">
        <w:rPr>
          <w:bCs w:val="0"/>
          <w:snapToGrid w:val="0"/>
          <w:spacing w:val="0"/>
          <w:kern w:val="2"/>
        </w:rPr>
        <w:t>Because the recipient has an affirmative obligation to monitor the performance of the subrecipient to assure compliance with the provisions of the subrecipient agreem</w:t>
      </w:r>
      <w:r w:rsidR="0089674B" w:rsidRPr="00BB3CA3">
        <w:rPr>
          <w:bCs w:val="0"/>
          <w:snapToGrid w:val="0"/>
          <w:spacing w:val="0"/>
          <w:kern w:val="2"/>
        </w:rPr>
        <w:t>ent, as well as all applicable f</w:t>
      </w:r>
      <w:r w:rsidRPr="00BB3CA3">
        <w:rPr>
          <w:bCs w:val="0"/>
          <w:snapToGrid w:val="0"/>
          <w:spacing w:val="0"/>
          <w:kern w:val="2"/>
        </w:rPr>
        <w:t>ederal laws, regulat</w:t>
      </w:r>
      <w:bookmarkStart w:id="0" w:name="_GoBack"/>
      <w:bookmarkEnd w:id="0"/>
      <w:r w:rsidRPr="00BB3CA3">
        <w:rPr>
          <w:bCs w:val="0"/>
          <w:snapToGrid w:val="0"/>
          <w:spacing w:val="0"/>
          <w:kern w:val="2"/>
        </w:rPr>
        <w:t>ions and policies, the subrecipient agreement should contain provisions by which the recipient maintains appropriate oversight.  Further, t</w:t>
      </w:r>
      <w:r w:rsidRPr="00BB3CA3">
        <w:rPr>
          <w:bCs w:val="0"/>
          <w:iCs/>
          <w:snapToGrid w:val="0"/>
          <w:spacing w:val="0"/>
          <w:kern w:val="2"/>
        </w:rPr>
        <w:t>he subrecipient should provide assurance that it will comply with the terms and conditions of the gran</w:t>
      </w:r>
      <w:r w:rsidR="0089674B" w:rsidRPr="00BB3CA3">
        <w:rPr>
          <w:bCs w:val="0"/>
          <w:iCs/>
          <w:snapToGrid w:val="0"/>
          <w:spacing w:val="0"/>
          <w:kern w:val="2"/>
        </w:rPr>
        <w:t>t award, as well as applicable f</w:t>
      </w:r>
      <w:r w:rsidRPr="00BB3CA3">
        <w:rPr>
          <w:bCs w:val="0"/>
          <w:iCs/>
          <w:snapToGrid w:val="0"/>
          <w:spacing w:val="0"/>
          <w:kern w:val="2"/>
        </w:rPr>
        <w:t xml:space="preserve">ederal laws, </w:t>
      </w:r>
      <w:r w:rsidR="0089674B" w:rsidRPr="00BB3CA3">
        <w:rPr>
          <w:bCs w:val="0"/>
          <w:iCs/>
          <w:snapToGrid w:val="0"/>
          <w:spacing w:val="0"/>
          <w:kern w:val="2"/>
        </w:rPr>
        <w:t>regulations and policies.  All f</w:t>
      </w:r>
      <w:r w:rsidRPr="00BB3CA3">
        <w:rPr>
          <w:bCs w:val="0"/>
          <w:iCs/>
          <w:snapToGrid w:val="0"/>
          <w:spacing w:val="0"/>
          <w:kern w:val="2"/>
        </w:rPr>
        <w:t>ederal rules and requirements that will be “passed-through” to the subrecipient should be imposed explicitly via the subrecipient agreement.</w:t>
      </w:r>
    </w:p>
    <w:p w:rsidR="00F91305" w:rsidRPr="00BB3CA3" w:rsidRDefault="00F91305" w:rsidP="00297BC5">
      <w:pPr>
        <w:tabs>
          <w:tab w:val="left" w:pos="9360"/>
        </w:tabs>
        <w:jc w:val="both"/>
        <w:rPr>
          <w:spacing w:val="0"/>
          <w:kern w:val="2"/>
        </w:rPr>
      </w:pPr>
      <w:r w:rsidRPr="00BB3CA3">
        <w:rPr>
          <w:spacing w:val="0"/>
          <w:kern w:val="2"/>
        </w:rPr>
        <w:lastRenderedPageBreak/>
        <w:t xml:space="preserve">As with all contracts, subrecipient agreements should include termination clauses that permit termination “with cause” and termination for convenience, as well as immediate suspension. Since most termination clauses are bilateral, the Authors do not recommend provisions allowing termination “without cause,” which may leave the recipient “holding the bag” if the subrecipient terminates without cause. At a minimum, the agreement should permit </w:t>
      </w:r>
      <w:r w:rsidR="0089674B" w:rsidRPr="00BB3CA3">
        <w:rPr>
          <w:spacing w:val="0"/>
          <w:kern w:val="2"/>
        </w:rPr>
        <w:t>termination if the recipient’s f</w:t>
      </w:r>
      <w:r w:rsidRPr="00BB3CA3">
        <w:rPr>
          <w:spacing w:val="0"/>
          <w:kern w:val="2"/>
        </w:rPr>
        <w:t>ederal grant funds are terminated, suspended or materially reduced.  In addition, the agreement should allow for immediate termination and/or suspension if reci</w:t>
      </w:r>
      <w:r w:rsidR="0089674B" w:rsidRPr="00BB3CA3">
        <w:rPr>
          <w:spacing w:val="0"/>
          <w:kern w:val="2"/>
        </w:rPr>
        <w:t>pient reasonably believes that f</w:t>
      </w:r>
      <w:r w:rsidRPr="00BB3CA3">
        <w:rPr>
          <w:spacing w:val="0"/>
          <w:kern w:val="2"/>
        </w:rPr>
        <w:t>ederal funds are being, or will be, used for purposes other than as intended.</w:t>
      </w:r>
    </w:p>
    <w:p w:rsidR="00F91305" w:rsidRPr="00BB3CA3" w:rsidRDefault="00F91305" w:rsidP="00A85DFD">
      <w:pPr>
        <w:tabs>
          <w:tab w:val="left" w:pos="-1200"/>
          <w:tab w:val="left" w:pos="-720"/>
          <w:tab w:val="left" w:pos="0"/>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0"/>
          <w:kern w:val="2"/>
        </w:rPr>
      </w:pPr>
      <w:r w:rsidRPr="00BB3CA3">
        <w:rPr>
          <w:spacing w:val="0"/>
          <w:kern w:val="2"/>
        </w:rPr>
        <w:tab/>
      </w:r>
    </w:p>
    <w:p w:rsidR="00F91305" w:rsidRPr="00BB3CA3" w:rsidRDefault="00F91305" w:rsidP="00A85DFD">
      <w:pPr>
        <w:tabs>
          <w:tab w:val="left" w:pos="-1200"/>
          <w:tab w:val="left" w:pos="-720"/>
          <w:tab w:val="left" w:pos="0"/>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0"/>
          <w:kern w:val="2"/>
        </w:rPr>
      </w:pPr>
      <w:r w:rsidRPr="00BB3CA3">
        <w:rPr>
          <w:spacing w:val="0"/>
          <w:kern w:val="2"/>
        </w:rPr>
        <w:t>Lastly, there are certain features that are common to all cogent and enforceable contractual arrangements that, as a matter of good practice, recipients should include in their subrecipient agreements.  These provisions include indemnification; insurance; confidentiality; governing laws; assignment; amendments; severability; and e</w:t>
      </w:r>
      <w:r w:rsidR="0018012D" w:rsidRPr="00BB3CA3">
        <w:rPr>
          <w:spacing w:val="0"/>
          <w:kern w:val="2"/>
        </w:rPr>
        <w:t>ntire agreement.</w:t>
      </w:r>
    </w:p>
    <w:p w:rsidR="00F91305" w:rsidRPr="00BB3CA3" w:rsidRDefault="00F91305" w:rsidP="00A85DFD">
      <w:pPr>
        <w:jc w:val="both"/>
        <w:rPr>
          <w:bCs w:val="0"/>
          <w:iCs/>
          <w:spacing w:val="0"/>
          <w:kern w:val="2"/>
        </w:rPr>
      </w:pPr>
    </w:p>
    <w:p w:rsidR="00F91305" w:rsidRPr="00BB3CA3" w:rsidRDefault="00F91305" w:rsidP="00A85DFD">
      <w:pPr>
        <w:ind w:left="2160" w:hanging="720"/>
        <w:jc w:val="both"/>
        <w:rPr>
          <w:bCs w:val="0"/>
          <w:iCs/>
          <w:spacing w:val="0"/>
          <w:kern w:val="2"/>
        </w:rPr>
      </w:pPr>
    </w:p>
    <w:p w:rsidR="0000738F" w:rsidRPr="00BB3CA3" w:rsidRDefault="0000738F" w:rsidP="00A85DFD">
      <w:pPr>
        <w:jc w:val="both"/>
        <w:rPr>
          <w:spacing w:val="0"/>
          <w:kern w:val="2"/>
        </w:rPr>
      </w:pPr>
    </w:p>
    <w:sectPr w:rsidR="0000738F" w:rsidRPr="00BB3CA3" w:rsidSect="00A56B8E">
      <w:headerReference w:type="default" r:id="rId10"/>
      <w:footerReference w:type="default" r:id="rId11"/>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91" w:rsidRDefault="00651491" w:rsidP="00651491">
      <w:r>
        <w:separator/>
      </w:r>
    </w:p>
  </w:endnote>
  <w:endnote w:type="continuationSeparator" w:id="0">
    <w:p w:rsidR="00651491" w:rsidRDefault="00651491" w:rsidP="0065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1" w:rsidRPr="00470A9C" w:rsidRDefault="00651491" w:rsidP="00651491">
    <w:pPr>
      <w:pBdr>
        <w:bottom w:val="single" w:sz="12" w:space="0" w:color="auto"/>
      </w:pBdr>
      <w:rPr>
        <w:rFonts w:eastAsiaTheme="minorHAnsi" w:cstheme="minorBidi"/>
        <w:bCs w:val="0"/>
        <w:spacing w:val="0"/>
        <w:sz w:val="20"/>
        <w:szCs w:val="20"/>
      </w:rPr>
    </w:pPr>
  </w:p>
  <w:p w:rsidR="00651491" w:rsidRPr="00470A9C" w:rsidRDefault="00651491" w:rsidP="00651491">
    <w:pPr>
      <w:tabs>
        <w:tab w:val="left" w:pos="2340"/>
      </w:tabs>
      <w:jc w:val="center"/>
      <w:rPr>
        <w:rFonts w:eastAsiaTheme="minorHAnsi" w:cstheme="minorBidi"/>
        <w:bCs w:val="0"/>
        <w:spacing w:val="0"/>
        <w:sz w:val="20"/>
        <w:szCs w:val="20"/>
      </w:rPr>
    </w:pPr>
  </w:p>
  <w:p w:rsidR="00651491" w:rsidRPr="00470A9C" w:rsidRDefault="00B42552" w:rsidP="00651491">
    <w:pPr>
      <w:tabs>
        <w:tab w:val="left" w:pos="2340"/>
      </w:tabs>
      <w:jc w:val="center"/>
      <w:rPr>
        <w:rFonts w:eastAsiaTheme="minorHAnsi" w:cstheme="minorBidi"/>
        <w:bCs w:val="0"/>
        <w:spacing w:val="0"/>
        <w:sz w:val="20"/>
        <w:szCs w:val="20"/>
      </w:rPr>
    </w:pPr>
    <w:r>
      <w:rPr>
        <w:rFonts w:eastAsiaTheme="minorHAnsi" w:cstheme="minorBidi"/>
        <w:bCs w:val="0"/>
        <w:spacing w:val="0"/>
        <w:sz w:val="20"/>
        <w:szCs w:val="20"/>
      </w:rPr>
      <w:t>The Corporate</w:t>
    </w:r>
    <w:r w:rsidR="00651491" w:rsidRPr="00470A9C">
      <w:rPr>
        <w:rFonts w:eastAsiaTheme="minorHAnsi" w:cstheme="minorBidi"/>
        <w:bCs w:val="0"/>
        <w:spacing w:val="0"/>
        <w:sz w:val="20"/>
        <w:szCs w:val="20"/>
      </w:rPr>
      <w:t xml:space="preserve"> Compliance Toolkit</w:t>
    </w:r>
    <w:r>
      <w:rPr>
        <w:rFonts w:eastAsiaTheme="minorHAnsi" w:cstheme="minorBidi"/>
        <w:bCs w:val="0"/>
        <w:spacing w:val="0"/>
        <w:sz w:val="20"/>
        <w:szCs w:val="20"/>
      </w:rPr>
      <w:t xml:space="preserve"> for PCAs-HCCNs</w:t>
    </w:r>
  </w:p>
  <w:p w:rsidR="00651491" w:rsidRPr="00470A9C" w:rsidRDefault="00651491" w:rsidP="00651491">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 xml:space="preserve">© </w:t>
    </w:r>
    <w:r w:rsidRPr="001F44D2">
      <w:rPr>
        <w:rFonts w:eastAsiaTheme="minorHAnsi" w:cstheme="minorBidi"/>
        <w:bCs w:val="0"/>
        <w:spacing w:val="0"/>
        <w:sz w:val="20"/>
        <w:szCs w:val="20"/>
        <w:lang w:val="de-DE"/>
      </w:rPr>
      <w:t>2015</w:t>
    </w:r>
    <w:r w:rsidRPr="00470A9C">
      <w:rPr>
        <w:rFonts w:eastAsiaTheme="minorHAnsi" w:cstheme="minorBidi"/>
        <w:bCs w:val="0"/>
        <w:spacing w:val="0"/>
        <w:sz w:val="20"/>
        <w:szCs w:val="20"/>
        <w:lang w:val="de-DE"/>
      </w:rPr>
      <w:t xml:space="preserve"> </w:t>
    </w:r>
    <w:r w:rsidRPr="00470A9C">
      <w:rPr>
        <w:rFonts w:eastAsiaTheme="minorHAnsi" w:cstheme="minorBidi"/>
        <w:bCs w:val="0"/>
        <w:spacing w:val="0"/>
        <w:sz w:val="20"/>
        <w:szCs w:val="20"/>
      </w:rPr>
      <w:t>National Association of Community Health Centers, Inc.</w:t>
    </w:r>
  </w:p>
  <w:p w:rsidR="00651491" w:rsidRPr="00470A9C" w:rsidRDefault="00651491" w:rsidP="00651491">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and Feldesman Tucker Leifer Fidell LLP</w:t>
    </w:r>
  </w:p>
  <w:p w:rsidR="00651491" w:rsidRPr="00470A9C" w:rsidRDefault="00651491" w:rsidP="00651491">
    <w:pPr>
      <w:tabs>
        <w:tab w:val="left" w:pos="2340"/>
      </w:tabs>
      <w:jc w:val="center"/>
      <w:rPr>
        <w:rFonts w:eastAsiaTheme="minorHAnsi" w:cstheme="minorBidi"/>
        <w:bCs w:val="0"/>
        <w:spacing w:val="0"/>
        <w:sz w:val="20"/>
        <w:szCs w:val="20"/>
      </w:rPr>
    </w:pPr>
  </w:p>
  <w:p w:rsidR="00651491" w:rsidRPr="00651491" w:rsidRDefault="00651491" w:rsidP="00651491">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rPr>
      <w:fldChar w:fldCharType="begin"/>
    </w:r>
    <w:r w:rsidRPr="00470A9C">
      <w:rPr>
        <w:rFonts w:eastAsiaTheme="minorHAnsi" w:cstheme="minorBidi"/>
        <w:bCs w:val="0"/>
        <w:spacing w:val="0"/>
        <w:sz w:val="20"/>
        <w:szCs w:val="20"/>
      </w:rPr>
      <w:instrText xml:space="preserve"> PAGE </w:instrText>
    </w:r>
    <w:r w:rsidRPr="00470A9C">
      <w:rPr>
        <w:rFonts w:eastAsiaTheme="minorHAnsi" w:cstheme="minorBidi"/>
        <w:bCs w:val="0"/>
        <w:spacing w:val="0"/>
        <w:sz w:val="20"/>
        <w:szCs w:val="20"/>
      </w:rPr>
      <w:fldChar w:fldCharType="separate"/>
    </w:r>
    <w:r w:rsidR="00BB3CA3">
      <w:rPr>
        <w:rFonts w:eastAsiaTheme="minorHAnsi" w:cstheme="minorBidi"/>
        <w:bCs w:val="0"/>
        <w:noProof/>
        <w:spacing w:val="0"/>
        <w:sz w:val="20"/>
        <w:szCs w:val="20"/>
      </w:rPr>
      <w:t>3</w:t>
    </w:r>
    <w:r w:rsidRPr="00470A9C">
      <w:rPr>
        <w:rFonts w:eastAsiaTheme="minorHAnsi" w:cstheme="minorBidi"/>
        <w:bCs w:val="0"/>
        <w:spacing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91" w:rsidRDefault="00651491" w:rsidP="00651491">
      <w:r>
        <w:separator/>
      </w:r>
    </w:p>
  </w:footnote>
  <w:footnote w:type="continuationSeparator" w:id="0">
    <w:p w:rsidR="00651491" w:rsidRDefault="00651491" w:rsidP="00651491">
      <w:r>
        <w:continuationSeparator/>
      </w:r>
    </w:p>
  </w:footnote>
  <w:footnote w:id="1">
    <w:p w:rsidR="00B04447" w:rsidRPr="00BB3CA3" w:rsidRDefault="001C2759" w:rsidP="0019548F">
      <w:pPr>
        <w:ind w:left="360" w:hanging="360"/>
        <w:rPr>
          <w:spacing w:val="0"/>
          <w:sz w:val="20"/>
          <w:szCs w:val="20"/>
        </w:rPr>
      </w:pPr>
      <w:r w:rsidRPr="0019548F">
        <w:rPr>
          <w:rStyle w:val="FootnoteReference"/>
          <w:sz w:val="20"/>
          <w:szCs w:val="20"/>
        </w:rPr>
        <w:footnoteRef/>
      </w:r>
      <w:r w:rsidRPr="0019548F">
        <w:rPr>
          <w:sz w:val="20"/>
          <w:szCs w:val="20"/>
        </w:rPr>
        <w:t xml:space="preserve"> </w:t>
      </w:r>
      <w:r w:rsidRPr="0019548F">
        <w:rPr>
          <w:sz w:val="20"/>
          <w:szCs w:val="20"/>
        </w:rPr>
        <w:tab/>
      </w:r>
      <w:r w:rsidRPr="00BB3CA3">
        <w:rPr>
          <w:bCs w:val="0"/>
          <w:spacing w:val="0"/>
          <w:sz w:val="20"/>
          <w:szCs w:val="20"/>
          <w:u w:val="single"/>
        </w:rPr>
        <w:t>See</w:t>
      </w:r>
      <w:r w:rsidRPr="00BB3CA3">
        <w:rPr>
          <w:bCs w:val="0"/>
          <w:spacing w:val="0"/>
          <w:sz w:val="20"/>
          <w:szCs w:val="20"/>
        </w:rPr>
        <w:t xml:space="preserve"> </w:t>
      </w:r>
      <w:r w:rsidRPr="00BB3CA3">
        <w:rPr>
          <w:bCs w:val="0"/>
          <w:spacing w:val="0"/>
          <w:sz w:val="20"/>
          <w:szCs w:val="20"/>
          <w:u w:val="single"/>
        </w:rPr>
        <w:t>generally</w:t>
      </w:r>
      <w:r w:rsidRPr="00BB3CA3">
        <w:rPr>
          <w:bCs w:val="0"/>
          <w:spacing w:val="0"/>
          <w:sz w:val="20"/>
          <w:szCs w:val="20"/>
        </w:rPr>
        <w:t xml:space="preserve">  (listing of factors to determine whether an agreement creates a contractor or a subaward).</w:t>
      </w:r>
    </w:p>
  </w:footnote>
  <w:footnote w:id="2">
    <w:p w:rsidR="00B04447" w:rsidRPr="00BB3CA3" w:rsidRDefault="001C2759" w:rsidP="0019548F">
      <w:pPr>
        <w:ind w:left="360" w:hanging="360"/>
        <w:rPr>
          <w:spacing w:val="0"/>
          <w:sz w:val="20"/>
          <w:szCs w:val="20"/>
        </w:rPr>
      </w:pPr>
      <w:r w:rsidRPr="00BB3CA3">
        <w:rPr>
          <w:rStyle w:val="FootnoteReference"/>
          <w:spacing w:val="0"/>
          <w:sz w:val="20"/>
          <w:szCs w:val="20"/>
        </w:rPr>
        <w:footnoteRef/>
      </w:r>
      <w:r w:rsidRPr="00BB3CA3">
        <w:rPr>
          <w:spacing w:val="0"/>
          <w:sz w:val="20"/>
          <w:szCs w:val="20"/>
        </w:rPr>
        <w:t xml:space="preserve"> </w:t>
      </w:r>
      <w:r w:rsidRPr="00BB3CA3">
        <w:rPr>
          <w:spacing w:val="0"/>
          <w:sz w:val="20"/>
          <w:szCs w:val="20"/>
        </w:rPr>
        <w:tab/>
        <w:t>An award by a component agency within DHHS, such as HRSA, constitutes a DHHS award.</w:t>
      </w:r>
    </w:p>
  </w:footnote>
  <w:footnote w:id="3">
    <w:p w:rsidR="000D1D31" w:rsidRPr="0019548F" w:rsidRDefault="000D1D31" w:rsidP="0019548F">
      <w:pPr>
        <w:ind w:left="360" w:hanging="360"/>
        <w:rPr>
          <w:color w:val="000000"/>
          <w:spacing w:val="0"/>
          <w:sz w:val="20"/>
          <w:szCs w:val="20"/>
        </w:rPr>
      </w:pPr>
      <w:r w:rsidRPr="0019548F">
        <w:rPr>
          <w:rStyle w:val="FootnoteReference"/>
          <w:spacing w:val="0"/>
        </w:rPr>
        <w:footnoteRef/>
      </w:r>
      <w:r w:rsidR="00F3431D" w:rsidRPr="0019548F">
        <w:rPr>
          <w:spacing w:val="0"/>
        </w:rPr>
        <w:t xml:space="preserve"> </w:t>
      </w:r>
      <w:r w:rsidR="0019548F">
        <w:rPr>
          <w:spacing w:val="0"/>
        </w:rPr>
        <w:tab/>
      </w:r>
      <w:r w:rsidRPr="0019548F">
        <w:rPr>
          <w:color w:val="000000"/>
          <w:spacing w:val="0"/>
          <w:sz w:val="20"/>
          <w:szCs w:val="20"/>
        </w:rPr>
        <w:t>The Authors of these materials include attorneys at the law firm of Feldesman Tucker Leifer Fidell LLP. The advice and recommendations consist of general guidance based on federal law and regulati</w:t>
      </w:r>
      <w:r w:rsidR="00FD5776" w:rsidRPr="0019548F">
        <w:rPr>
          <w:color w:val="000000"/>
          <w:spacing w:val="0"/>
          <w:sz w:val="20"/>
          <w:szCs w:val="20"/>
        </w:rPr>
        <w:t>ons</w:t>
      </w:r>
      <w:r w:rsidRPr="0019548F">
        <w:rPr>
          <w:color w:val="000000"/>
          <w:spacing w:val="0"/>
          <w:sz w:val="20"/>
          <w:szCs w:val="20"/>
        </w:rPr>
        <w:t xml:space="preserve"> and do not necessarily apply to all PCAs</w:t>
      </w:r>
      <w:r w:rsidR="00F3431D" w:rsidRPr="0019548F">
        <w:rPr>
          <w:color w:val="000000"/>
          <w:spacing w:val="0"/>
          <w:sz w:val="20"/>
          <w:szCs w:val="20"/>
        </w:rPr>
        <w:t>-HCCNs</w:t>
      </w:r>
      <w:r w:rsidRPr="0019548F">
        <w:rPr>
          <w:color w:val="000000"/>
          <w:spacing w:val="0"/>
          <w:sz w:val="20"/>
          <w:szCs w:val="20"/>
        </w:rPr>
        <w:t xml:space="preserve">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91" w:rsidRPr="00A85DFD" w:rsidRDefault="00651491" w:rsidP="00651491">
    <w:pPr>
      <w:jc w:val="center"/>
      <w:rPr>
        <w:spacing w:val="0"/>
        <w:sz w:val="20"/>
      </w:rPr>
    </w:pPr>
    <w:r w:rsidRPr="00A85DFD">
      <w:rPr>
        <w:spacing w:val="0"/>
        <w:sz w:val="20"/>
      </w:rPr>
      <w:t>V</w:t>
    </w:r>
    <w:r w:rsidR="00B42552" w:rsidRPr="00A85DFD">
      <w:rPr>
        <w:spacing w:val="0"/>
        <w:sz w:val="20"/>
      </w:rPr>
      <w:t xml:space="preserve">olume II: </w:t>
    </w:r>
    <w:r w:rsidRPr="00A85DFD">
      <w:rPr>
        <w:spacing w:val="0"/>
        <w:sz w:val="20"/>
      </w:rPr>
      <w:t>PCA</w:t>
    </w:r>
    <w:r w:rsidR="00B42552" w:rsidRPr="00A85DFD">
      <w:rPr>
        <w:spacing w:val="0"/>
        <w:sz w:val="20"/>
      </w:rPr>
      <w:t>-HCCN</w:t>
    </w:r>
    <w:r w:rsidRPr="00A85DFD">
      <w:rPr>
        <w:spacing w:val="0"/>
        <w:sz w:val="20"/>
      </w:rPr>
      <w:t xml:space="preserve"> Risk Areas</w:t>
    </w:r>
  </w:p>
  <w:p w:rsidR="00651491" w:rsidRPr="00A85DFD" w:rsidRDefault="00651491" w:rsidP="00651491">
    <w:pPr>
      <w:pBdr>
        <w:bottom w:val="single" w:sz="12" w:space="0" w:color="auto"/>
      </w:pBdr>
      <w:jc w:val="center"/>
      <w:rPr>
        <w:spacing w:val="0"/>
        <w:sz w:val="20"/>
      </w:rPr>
    </w:pPr>
    <w:r w:rsidRPr="00A85DFD">
      <w:rPr>
        <w:spacing w:val="0"/>
        <w:sz w:val="20"/>
      </w:rPr>
      <w:t>Federal Grants Management</w:t>
    </w:r>
  </w:p>
  <w:p w:rsidR="00651491" w:rsidRPr="00F354EE" w:rsidRDefault="00651491" w:rsidP="00651491">
    <w:pPr>
      <w:pBdr>
        <w:bottom w:val="single" w:sz="12" w:space="0" w:color="auto"/>
      </w:pBdr>
      <w:jc w:val="center"/>
      <w:rPr>
        <w:sz w:val="20"/>
      </w:rPr>
    </w:pPr>
  </w:p>
  <w:p w:rsidR="00651491" w:rsidRDefault="00651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E5B"/>
    <w:multiLevelType w:val="hybridMultilevel"/>
    <w:tmpl w:val="32A8B0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E297C"/>
    <w:multiLevelType w:val="hybridMultilevel"/>
    <w:tmpl w:val="AC8021F6"/>
    <w:lvl w:ilvl="0" w:tplc="43A68C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51965"/>
    <w:multiLevelType w:val="hybridMultilevel"/>
    <w:tmpl w:val="A4E801C4"/>
    <w:lvl w:ilvl="0" w:tplc="340E78E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D12FC"/>
    <w:multiLevelType w:val="hybridMultilevel"/>
    <w:tmpl w:val="07A6D656"/>
    <w:lvl w:ilvl="0" w:tplc="3E9A0D2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AC23F2"/>
    <w:multiLevelType w:val="hybridMultilevel"/>
    <w:tmpl w:val="DEFAA834"/>
    <w:lvl w:ilvl="0" w:tplc="FB907F36">
      <w:start w:val="3"/>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8EE22F5"/>
    <w:multiLevelType w:val="multilevel"/>
    <w:tmpl w:val="7D661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38"/>
    <w:rsid w:val="0000738F"/>
    <w:rsid w:val="000B4285"/>
    <w:rsid w:val="000D1D31"/>
    <w:rsid w:val="0018012D"/>
    <w:rsid w:val="00186080"/>
    <w:rsid w:val="0019548F"/>
    <w:rsid w:val="001C2759"/>
    <w:rsid w:val="001F44D2"/>
    <w:rsid w:val="00235D7B"/>
    <w:rsid w:val="00297BC5"/>
    <w:rsid w:val="002E0458"/>
    <w:rsid w:val="00324D3D"/>
    <w:rsid w:val="0036018B"/>
    <w:rsid w:val="00402749"/>
    <w:rsid w:val="00425550"/>
    <w:rsid w:val="004558CE"/>
    <w:rsid w:val="00461A1C"/>
    <w:rsid w:val="005C0006"/>
    <w:rsid w:val="005D41C3"/>
    <w:rsid w:val="005F1106"/>
    <w:rsid w:val="006176E2"/>
    <w:rsid w:val="00624AB5"/>
    <w:rsid w:val="00651491"/>
    <w:rsid w:val="006B17FF"/>
    <w:rsid w:val="007625CD"/>
    <w:rsid w:val="007C5AC9"/>
    <w:rsid w:val="007F6206"/>
    <w:rsid w:val="00866FFB"/>
    <w:rsid w:val="0089674B"/>
    <w:rsid w:val="008A3530"/>
    <w:rsid w:val="008A7438"/>
    <w:rsid w:val="008B1AC0"/>
    <w:rsid w:val="00914D44"/>
    <w:rsid w:val="00920444"/>
    <w:rsid w:val="00947EDD"/>
    <w:rsid w:val="00957401"/>
    <w:rsid w:val="00A56B8E"/>
    <w:rsid w:val="00A85DFD"/>
    <w:rsid w:val="00B04447"/>
    <w:rsid w:val="00B047C2"/>
    <w:rsid w:val="00B42552"/>
    <w:rsid w:val="00B47838"/>
    <w:rsid w:val="00B96C3B"/>
    <w:rsid w:val="00BB3CA3"/>
    <w:rsid w:val="00BB6E45"/>
    <w:rsid w:val="00BD23E9"/>
    <w:rsid w:val="00BE6E4A"/>
    <w:rsid w:val="00C25889"/>
    <w:rsid w:val="00D02674"/>
    <w:rsid w:val="00D045E6"/>
    <w:rsid w:val="00D3488A"/>
    <w:rsid w:val="00D503B5"/>
    <w:rsid w:val="00DA5DD4"/>
    <w:rsid w:val="00DB2F67"/>
    <w:rsid w:val="00DD11A9"/>
    <w:rsid w:val="00DD6A72"/>
    <w:rsid w:val="00E765A1"/>
    <w:rsid w:val="00EB3F3F"/>
    <w:rsid w:val="00EC1B71"/>
    <w:rsid w:val="00F3431D"/>
    <w:rsid w:val="00F91305"/>
    <w:rsid w:val="00FB4A1B"/>
    <w:rsid w:val="00FD5776"/>
    <w:rsid w:val="3336A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38"/>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customStyle="1" w:styleId="Level1">
    <w:name w:val="Level 1"/>
    <w:basedOn w:val="Normal"/>
    <w:rsid w:val="00B47838"/>
    <w:pPr>
      <w:widowControl w:val="0"/>
      <w:ind w:left="720" w:hanging="720"/>
    </w:pPr>
    <w:rPr>
      <w:bCs w:val="0"/>
      <w:snapToGrid w:val="0"/>
      <w:spacing w:val="0"/>
      <w:szCs w:val="20"/>
    </w:rPr>
  </w:style>
  <w:style w:type="paragraph" w:styleId="Title">
    <w:name w:val="Title"/>
    <w:basedOn w:val="Normal"/>
    <w:link w:val="TitleChar"/>
    <w:qFormat/>
    <w:rsid w:val="00B47838"/>
    <w:pPr>
      <w:jc w:val="center"/>
    </w:pPr>
    <w:rPr>
      <w:rFonts w:ascii="Arial" w:hAnsi="Arial"/>
      <w:b/>
      <w:spacing w:val="0"/>
      <w:sz w:val="22"/>
      <w:szCs w:val="20"/>
    </w:rPr>
  </w:style>
  <w:style w:type="character" w:customStyle="1" w:styleId="TitleChar">
    <w:name w:val="Title Char"/>
    <w:basedOn w:val="DefaultParagraphFont"/>
    <w:link w:val="Title"/>
    <w:rsid w:val="00B47838"/>
    <w:rPr>
      <w:rFonts w:ascii="Arial" w:eastAsia="Times New Roman" w:hAnsi="Arial" w:cs="Times New Roman"/>
      <w:b/>
      <w:bCs/>
      <w:szCs w:val="20"/>
    </w:rPr>
  </w:style>
  <w:style w:type="paragraph" w:styleId="BodyTextIndent3">
    <w:name w:val="Body Text Indent 3"/>
    <w:basedOn w:val="Normal"/>
    <w:link w:val="BodyTextIndent3Char"/>
    <w:rsid w:val="00B47838"/>
    <w:pPr>
      <w:ind w:right="720" w:firstLine="720"/>
    </w:pPr>
    <w:rPr>
      <w:i/>
    </w:rPr>
  </w:style>
  <w:style w:type="character" w:customStyle="1" w:styleId="BodyTextIndent3Char">
    <w:name w:val="Body Text Indent 3 Char"/>
    <w:basedOn w:val="DefaultParagraphFont"/>
    <w:link w:val="BodyTextIndent3"/>
    <w:rsid w:val="00B47838"/>
    <w:rPr>
      <w:rFonts w:ascii="Times New Roman" w:eastAsia="Times New Roman" w:hAnsi="Times New Roman" w:cs="Times New Roman"/>
      <w:bCs/>
      <w:i/>
      <w:spacing w:val="-3"/>
      <w:sz w:val="24"/>
      <w:szCs w:val="24"/>
    </w:rPr>
  </w:style>
  <w:style w:type="paragraph" w:styleId="Header">
    <w:name w:val="header"/>
    <w:basedOn w:val="Normal"/>
    <w:link w:val="HeaderChar"/>
    <w:uiPriority w:val="99"/>
    <w:unhideWhenUsed/>
    <w:rsid w:val="00651491"/>
    <w:pPr>
      <w:tabs>
        <w:tab w:val="center" w:pos="4680"/>
        <w:tab w:val="right" w:pos="9360"/>
      </w:tabs>
    </w:pPr>
  </w:style>
  <w:style w:type="character" w:customStyle="1" w:styleId="HeaderChar">
    <w:name w:val="Header Char"/>
    <w:basedOn w:val="DefaultParagraphFont"/>
    <w:link w:val="Header"/>
    <w:uiPriority w:val="99"/>
    <w:rsid w:val="00651491"/>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651491"/>
    <w:pPr>
      <w:tabs>
        <w:tab w:val="center" w:pos="4680"/>
        <w:tab w:val="right" w:pos="9360"/>
      </w:tabs>
    </w:pPr>
  </w:style>
  <w:style w:type="character" w:customStyle="1" w:styleId="FooterChar">
    <w:name w:val="Footer Char"/>
    <w:basedOn w:val="DefaultParagraphFont"/>
    <w:link w:val="Footer"/>
    <w:uiPriority w:val="99"/>
    <w:rsid w:val="00651491"/>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651491"/>
    <w:rPr>
      <w:rFonts w:ascii="Tahoma" w:hAnsi="Tahoma" w:cs="Tahoma"/>
      <w:sz w:val="16"/>
      <w:szCs w:val="16"/>
    </w:rPr>
  </w:style>
  <w:style w:type="character" w:customStyle="1" w:styleId="BalloonTextChar">
    <w:name w:val="Balloon Text Char"/>
    <w:basedOn w:val="DefaultParagraphFont"/>
    <w:link w:val="BalloonText"/>
    <w:uiPriority w:val="99"/>
    <w:semiHidden/>
    <w:rsid w:val="00651491"/>
    <w:rPr>
      <w:rFonts w:ascii="Tahoma" w:eastAsia="Times New Roman" w:hAnsi="Tahoma" w:cs="Tahoma"/>
      <w:bCs/>
      <w:spacing w:val="-3"/>
      <w:sz w:val="16"/>
      <w:szCs w:val="16"/>
    </w:rPr>
  </w:style>
  <w:style w:type="character" w:styleId="Hyperlink">
    <w:name w:val="Hyperlink"/>
    <w:basedOn w:val="DefaultParagraphFont"/>
    <w:uiPriority w:val="99"/>
    <w:unhideWhenUsed/>
    <w:rsid w:val="00DD6A72"/>
    <w:rPr>
      <w:color w:val="0000FF" w:themeColor="hyperlink"/>
      <w:u w:val="single"/>
    </w:rPr>
  </w:style>
  <w:style w:type="paragraph" w:styleId="FootnoteText">
    <w:name w:val="footnote text"/>
    <w:basedOn w:val="Normal"/>
    <w:link w:val="FootnoteTextChar"/>
    <w:uiPriority w:val="99"/>
    <w:semiHidden/>
    <w:unhideWhenUsed/>
    <w:rsid w:val="000D1D31"/>
    <w:rPr>
      <w:sz w:val="20"/>
      <w:szCs w:val="20"/>
    </w:rPr>
  </w:style>
  <w:style w:type="character" w:customStyle="1" w:styleId="FootnoteTextChar">
    <w:name w:val="Footnote Text Char"/>
    <w:basedOn w:val="DefaultParagraphFont"/>
    <w:link w:val="FootnoteText"/>
    <w:uiPriority w:val="99"/>
    <w:semiHidden/>
    <w:rsid w:val="000D1D31"/>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0D1D31"/>
    <w:rPr>
      <w:vertAlign w:val="superscript"/>
    </w:rPr>
  </w:style>
  <w:style w:type="paragraph" w:styleId="ListParagraph">
    <w:name w:val="List Paragraph"/>
    <w:basedOn w:val="Normal"/>
    <w:uiPriority w:val="34"/>
    <w:qFormat/>
    <w:rsid w:val="001C2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38"/>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customStyle="1" w:styleId="Level1">
    <w:name w:val="Level 1"/>
    <w:basedOn w:val="Normal"/>
    <w:rsid w:val="00B47838"/>
    <w:pPr>
      <w:widowControl w:val="0"/>
      <w:ind w:left="720" w:hanging="720"/>
    </w:pPr>
    <w:rPr>
      <w:bCs w:val="0"/>
      <w:snapToGrid w:val="0"/>
      <w:spacing w:val="0"/>
      <w:szCs w:val="20"/>
    </w:rPr>
  </w:style>
  <w:style w:type="paragraph" w:styleId="Title">
    <w:name w:val="Title"/>
    <w:basedOn w:val="Normal"/>
    <w:link w:val="TitleChar"/>
    <w:qFormat/>
    <w:rsid w:val="00B47838"/>
    <w:pPr>
      <w:jc w:val="center"/>
    </w:pPr>
    <w:rPr>
      <w:rFonts w:ascii="Arial" w:hAnsi="Arial"/>
      <w:b/>
      <w:spacing w:val="0"/>
      <w:sz w:val="22"/>
      <w:szCs w:val="20"/>
    </w:rPr>
  </w:style>
  <w:style w:type="character" w:customStyle="1" w:styleId="TitleChar">
    <w:name w:val="Title Char"/>
    <w:basedOn w:val="DefaultParagraphFont"/>
    <w:link w:val="Title"/>
    <w:rsid w:val="00B47838"/>
    <w:rPr>
      <w:rFonts w:ascii="Arial" w:eastAsia="Times New Roman" w:hAnsi="Arial" w:cs="Times New Roman"/>
      <w:b/>
      <w:bCs/>
      <w:szCs w:val="20"/>
    </w:rPr>
  </w:style>
  <w:style w:type="paragraph" w:styleId="BodyTextIndent3">
    <w:name w:val="Body Text Indent 3"/>
    <w:basedOn w:val="Normal"/>
    <w:link w:val="BodyTextIndent3Char"/>
    <w:rsid w:val="00B47838"/>
    <w:pPr>
      <w:ind w:right="720" w:firstLine="720"/>
    </w:pPr>
    <w:rPr>
      <w:i/>
    </w:rPr>
  </w:style>
  <w:style w:type="character" w:customStyle="1" w:styleId="BodyTextIndent3Char">
    <w:name w:val="Body Text Indent 3 Char"/>
    <w:basedOn w:val="DefaultParagraphFont"/>
    <w:link w:val="BodyTextIndent3"/>
    <w:rsid w:val="00B47838"/>
    <w:rPr>
      <w:rFonts w:ascii="Times New Roman" w:eastAsia="Times New Roman" w:hAnsi="Times New Roman" w:cs="Times New Roman"/>
      <w:bCs/>
      <w:i/>
      <w:spacing w:val="-3"/>
      <w:sz w:val="24"/>
      <w:szCs w:val="24"/>
    </w:rPr>
  </w:style>
  <w:style w:type="paragraph" w:styleId="Header">
    <w:name w:val="header"/>
    <w:basedOn w:val="Normal"/>
    <w:link w:val="HeaderChar"/>
    <w:uiPriority w:val="99"/>
    <w:unhideWhenUsed/>
    <w:rsid w:val="00651491"/>
    <w:pPr>
      <w:tabs>
        <w:tab w:val="center" w:pos="4680"/>
        <w:tab w:val="right" w:pos="9360"/>
      </w:tabs>
    </w:pPr>
  </w:style>
  <w:style w:type="character" w:customStyle="1" w:styleId="HeaderChar">
    <w:name w:val="Header Char"/>
    <w:basedOn w:val="DefaultParagraphFont"/>
    <w:link w:val="Header"/>
    <w:uiPriority w:val="99"/>
    <w:rsid w:val="00651491"/>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651491"/>
    <w:pPr>
      <w:tabs>
        <w:tab w:val="center" w:pos="4680"/>
        <w:tab w:val="right" w:pos="9360"/>
      </w:tabs>
    </w:pPr>
  </w:style>
  <w:style w:type="character" w:customStyle="1" w:styleId="FooterChar">
    <w:name w:val="Footer Char"/>
    <w:basedOn w:val="DefaultParagraphFont"/>
    <w:link w:val="Footer"/>
    <w:uiPriority w:val="99"/>
    <w:rsid w:val="00651491"/>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651491"/>
    <w:rPr>
      <w:rFonts w:ascii="Tahoma" w:hAnsi="Tahoma" w:cs="Tahoma"/>
      <w:sz w:val="16"/>
      <w:szCs w:val="16"/>
    </w:rPr>
  </w:style>
  <w:style w:type="character" w:customStyle="1" w:styleId="BalloonTextChar">
    <w:name w:val="Balloon Text Char"/>
    <w:basedOn w:val="DefaultParagraphFont"/>
    <w:link w:val="BalloonText"/>
    <w:uiPriority w:val="99"/>
    <w:semiHidden/>
    <w:rsid w:val="00651491"/>
    <w:rPr>
      <w:rFonts w:ascii="Tahoma" w:eastAsia="Times New Roman" w:hAnsi="Tahoma" w:cs="Tahoma"/>
      <w:bCs/>
      <w:spacing w:val="-3"/>
      <w:sz w:val="16"/>
      <w:szCs w:val="16"/>
    </w:rPr>
  </w:style>
  <w:style w:type="character" w:styleId="Hyperlink">
    <w:name w:val="Hyperlink"/>
    <w:basedOn w:val="DefaultParagraphFont"/>
    <w:uiPriority w:val="99"/>
    <w:unhideWhenUsed/>
    <w:rsid w:val="00DD6A72"/>
    <w:rPr>
      <w:color w:val="0000FF" w:themeColor="hyperlink"/>
      <w:u w:val="single"/>
    </w:rPr>
  </w:style>
  <w:style w:type="paragraph" w:styleId="FootnoteText">
    <w:name w:val="footnote text"/>
    <w:basedOn w:val="Normal"/>
    <w:link w:val="FootnoteTextChar"/>
    <w:uiPriority w:val="99"/>
    <w:semiHidden/>
    <w:unhideWhenUsed/>
    <w:rsid w:val="000D1D31"/>
    <w:rPr>
      <w:sz w:val="20"/>
      <w:szCs w:val="20"/>
    </w:rPr>
  </w:style>
  <w:style w:type="character" w:customStyle="1" w:styleId="FootnoteTextChar">
    <w:name w:val="Footnote Text Char"/>
    <w:basedOn w:val="DefaultParagraphFont"/>
    <w:link w:val="FootnoteText"/>
    <w:uiPriority w:val="99"/>
    <w:semiHidden/>
    <w:rsid w:val="000D1D31"/>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0D1D31"/>
    <w:rPr>
      <w:vertAlign w:val="superscript"/>
    </w:rPr>
  </w:style>
  <w:style w:type="paragraph" w:styleId="ListParagraph">
    <w:name w:val="List Paragraph"/>
    <w:basedOn w:val="Normal"/>
    <w:uiPriority w:val="34"/>
    <w:qFormat/>
    <w:rsid w:val="001C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althcentercompliance.com/subscriber/pca-toolkit/volume-2/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DC63-D51C-48FC-8679-CC9A88C6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3</cp:revision>
  <cp:lastPrinted>2015-11-13T21:54:00Z</cp:lastPrinted>
  <dcterms:created xsi:type="dcterms:W3CDTF">2015-11-13T21:53:00Z</dcterms:created>
  <dcterms:modified xsi:type="dcterms:W3CDTF">2015-11-13T21:54:00Z</dcterms:modified>
</cp:coreProperties>
</file>