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A8" w:rsidRPr="0036349D" w:rsidRDefault="00A347A8" w:rsidP="00A347A8">
      <w:pPr>
        <w:autoSpaceDE w:val="0"/>
        <w:autoSpaceDN w:val="0"/>
        <w:adjustRightInd w:val="0"/>
        <w:spacing w:before="11"/>
        <w:ind w:right="-20"/>
        <w:jc w:val="center"/>
        <w:rPr>
          <w:kern w:val="2"/>
          <w:sz w:val="32"/>
          <w:szCs w:val="32"/>
        </w:rPr>
      </w:pPr>
      <w:bookmarkStart w:id="0" w:name="_GoBack"/>
      <w:bookmarkEnd w:id="0"/>
      <w:r w:rsidRPr="0036349D">
        <w:rPr>
          <w:b/>
          <w:bCs/>
          <w:kern w:val="2"/>
          <w:sz w:val="32"/>
          <w:szCs w:val="32"/>
        </w:rPr>
        <w:t>Record Retention: Sample Policy and Procedure</w:t>
      </w:r>
      <w:r w:rsidRPr="0036349D">
        <w:rPr>
          <w:rStyle w:val="FootnoteReference"/>
          <w:bCs/>
          <w:kern w:val="2"/>
          <w:szCs w:val="32"/>
        </w:rPr>
        <w:footnoteReference w:id="1"/>
      </w:r>
    </w:p>
    <w:p w:rsidR="00A347A8" w:rsidRPr="0036349D" w:rsidRDefault="00A347A8" w:rsidP="00A347A8">
      <w:pPr>
        <w:pBdr>
          <w:bottom w:val="single" w:sz="12" w:space="1" w:color="auto"/>
        </w:pBdr>
        <w:autoSpaceDE w:val="0"/>
        <w:autoSpaceDN w:val="0"/>
        <w:adjustRightInd w:val="0"/>
        <w:jc w:val="both"/>
        <w:rPr>
          <w:kern w:val="2"/>
        </w:rPr>
      </w:pPr>
    </w:p>
    <w:p w:rsidR="00B84D6A" w:rsidRPr="0036349D" w:rsidRDefault="00B84D6A" w:rsidP="004C0495">
      <w:pPr>
        <w:rPr>
          <w:b/>
          <w:bCs/>
          <w:kern w:val="2"/>
          <w:sz w:val="28"/>
          <w:szCs w:val="28"/>
        </w:rPr>
      </w:pPr>
    </w:p>
    <w:p w:rsidR="00890926" w:rsidRPr="0036349D" w:rsidRDefault="00890926" w:rsidP="004C0495">
      <w:pPr>
        <w:rPr>
          <w:b/>
          <w:kern w:val="2"/>
        </w:rPr>
      </w:pPr>
      <w:r w:rsidRPr="0036349D">
        <w:rPr>
          <w:b/>
          <w:kern w:val="2"/>
        </w:rPr>
        <w:t>Policy</w:t>
      </w:r>
      <w:r w:rsidR="00A347A8" w:rsidRPr="0036349D">
        <w:rPr>
          <w:b/>
          <w:kern w:val="2"/>
        </w:rPr>
        <w:t>.</w:t>
      </w:r>
    </w:p>
    <w:p w:rsidR="00890926" w:rsidRPr="0036349D" w:rsidRDefault="00890926" w:rsidP="00890926">
      <w:pPr>
        <w:rPr>
          <w:kern w:val="2"/>
        </w:rPr>
      </w:pPr>
    </w:p>
    <w:p w:rsidR="00890926" w:rsidRPr="0036349D" w:rsidRDefault="00EA772E" w:rsidP="00890926">
      <w:pPr>
        <w:jc w:val="both"/>
        <w:rPr>
          <w:kern w:val="2"/>
        </w:rPr>
      </w:pPr>
      <w:r w:rsidRPr="0036349D">
        <w:rPr>
          <w:kern w:val="2"/>
        </w:rPr>
        <w:t xml:space="preserve">The records of </w:t>
      </w:r>
      <w:r w:rsidR="00890926" w:rsidRPr="0036349D">
        <w:rPr>
          <w:i/>
          <w:kern w:val="2"/>
        </w:rPr>
        <w:t>[Name of Health Center]</w:t>
      </w:r>
      <w:r w:rsidR="00890926" w:rsidRPr="0036349D">
        <w:rPr>
          <w:kern w:val="2"/>
        </w:rPr>
        <w:t xml:space="preserve"> (“</w:t>
      </w:r>
      <w:r w:rsidR="00890926" w:rsidRPr="0049287E">
        <w:rPr>
          <w:i/>
          <w:kern w:val="2"/>
        </w:rPr>
        <w:t>Health Center</w:t>
      </w:r>
      <w:r w:rsidR="00890926" w:rsidRPr="0036349D">
        <w:rPr>
          <w:kern w:val="2"/>
        </w:rPr>
        <w:t xml:space="preserve">”) are subject to requirements including, but not limited to </w:t>
      </w:r>
      <w:r w:rsidRPr="0036349D">
        <w:rPr>
          <w:kern w:val="2"/>
        </w:rPr>
        <w:t>f</w:t>
      </w:r>
      <w:r w:rsidR="00890926" w:rsidRPr="0036349D">
        <w:rPr>
          <w:kern w:val="2"/>
        </w:rPr>
        <w:t xml:space="preserve">ederal, </w:t>
      </w:r>
      <w:r w:rsidRPr="0036349D">
        <w:rPr>
          <w:kern w:val="2"/>
        </w:rPr>
        <w:t>s</w:t>
      </w:r>
      <w:r w:rsidR="00890926" w:rsidRPr="0036349D">
        <w:rPr>
          <w:kern w:val="2"/>
        </w:rPr>
        <w:t xml:space="preserve">tate, and local statutes, regulations, licensing and accreditation standards, and related policies, including requirements applicable to Health Center’s grant under Section 330 of the Public Health Service Act. This </w:t>
      </w:r>
      <w:r w:rsidRPr="0036349D">
        <w:rPr>
          <w:kern w:val="2"/>
        </w:rPr>
        <w:t>p</w:t>
      </w:r>
      <w:r w:rsidR="00890926" w:rsidRPr="0036349D">
        <w:rPr>
          <w:kern w:val="2"/>
        </w:rPr>
        <w:t xml:space="preserve">olicy and </w:t>
      </w:r>
      <w:r w:rsidRPr="0036349D">
        <w:rPr>
          <w:kern w:val="2"/>
        </w:rPr>
        <w:t>p</w:t>
      </w:r>
      <w:r w:rsidR="00890926" w:rsidRPr="0036349D">
        <w:rPr>
          <w:kern w:val="2"/>
        </w:rPr>
        <w:t xml:space="preserve">rocedure is intended to increase administrative efficiency and cost savings by ensuring required </w:t>
      </w:r>
      <w:r w:rsidR="00AC404E" w:rsidRPr="0036349D">
        <w:rPr>
          <w:kern w:val="2"/>
        </w:rPr>
        <w:t>r</w:t>
      </w:r>
      <w:r w:rsidR="00890926" w:rsidRPr="0036349D">
        <w:rPr>
          <w:kern w:val="2"/>
        </w:rPr>
        <w:t xml:space="preserve">ecords are properly created and maintained, by facilitating the destruction of unnecessary </w:t>
      </w:r>
      <w:r w:rsidR="00AC404E" w:rsidRPr="0036349D">
        <w:rPr>
          <w:kern w:val="2"/>
        </w:rPr>
        <w:t>r</w:t>
      </w:r>
      <w:r w:rsidR="00890926" w:rsidRPr="0036349D">
        <w:rPr>
          <w:kern w:val="2"/>
        </w:rPr>
        <w:t xml:space="preserve">ecords and documents, and by ensuring that necessary documents are not inadvertently destroyed (such as when an audit, investigation or litigation in which the </w:t>
      </w:r>
      <w:r w:rsidR="00AC404E" w:rsidRPr="0036349D">
        <w:rPr>
          <w:kern w:val="2"/>
        </w:rPr>
        <w:t>r</w:t>
      </w:r>
      <w:r w:rsidR="00890926" w:rsidRPr="0036349D">
        <w:rPr>
          <w:kern w:val="2"/>
        </w:rPr>
        <w:t>ecords are material is imminent or underway). Improper destruction of documents that are still required by law to be maintained can result in the imposition of disciplinary action.</w:t>
      </w:r>
    </w:p>
    <w:p w:rsidR="00890926" w:rsidRPr="0036349D" w:rsidRDefault="00890926" w:rsidP="00890926">
      <w:pPr>
        <w:jc w:val="both"/>
        <w:rPr>
          <w:kern w:val="2"/>
        </w:rPr>
      </w:pPr>
    </w:p>
    <w:p w:rsidR="00890926" w:rsidRPr="0036349D" w:rsidRDefault="00890926" w:rsidP="0036349D">
      <w:pPr>
        <w:tabs>
          <w:tab w:val="left" w:pos="1990"/>
        </w:tabs>
        <w:jc w:val="both"/>
        <w:rPr>
          <w:bCs/>
          <w:i/>
          <w:kern w:val="2"/>
        </w:rPr>
      </w:pPr>
      <w:r w:rsidRPr="0036349D">
        <w:rPr>
          <w:b/>
          <w:kern w:val="2"/>
        </w:rPr>
        <w:t>Procedure</w:t>
      </w:r>
      <w:r w:rsidR="00AC404E" w:rsidRPr="0036349D">
        <w:rPr>
          <w:b/>
          <w:kern w:val="2"/>
        </w:rPr>
        <w:t>.</w:t>
      </w:r>
      <w:r w:rsidR="00A347A8" w:rsidRPr="0036349D">
        <w:rPr>
          <w:rStyle w:val="FootnoteReference"/>
          <w:kern w:val="2"/>
        </w:rPr>
        <w:footnoteReference w:id="2"/>
      </w:r>
      <w:r w:rsidR="0036349D" w:rsidRPr="0036349D">
        <w:rPr>
          <w:b/>
          <w:kern w:val="2"/>
        </w:rPr>
        <w:tab/>
      </w:r>
    </w:p>
    <w:p w:rsidR="00890926" w:rsidRPr="0036349D" w:rsidRDefault="00890926" w:rsidP="00890926">
      <w:pPr>
        <w:jc w:val="both"/>
        <w:rPr>
          <w:kern w:val="2"/>
        </w:rPr>
      </w:pPr>
    </w:p>
    <w:p w:rsidR="00890926" w:rsidRPr="0036349D" w:rsidRDefault="00890926" w:rsidP="00890926">
      <w:pPr>
        <w:jc w:val="both"/>
        <w:rPr>
          <w:kern w:val="2"/>
        </w:rPr>
      </w:pPr>
      <w:r w:rsidRPr="0036349D">
        <w:rPr>
          <w:b/>
          <w:kern w:val="2"/>
        </w:rPr>
        <w:t xml:space="preserve">1.  Record </w:t>
      </w:r>
      <w:r w:rsidR="00AC404E" w:rsidRPr="0036349D">
        <w:rPr>
          <w:b/>
          <w:kern w:val="2"/>
        </w:rPr>
        <w:t>r</w:t>
      </w:r>
      <w:r w:rsidRPr="0036349D">
        <w:rPr>
          <w:b/>
          <w:kern w:val="2"/>
        </w:rPr>
        <w:t>etention.</w:t>
      </w:r>
      <w:r w:rsidRPr="0036349D">
        <w:rPr>
          <w:kern w:val="2"/>
        </w:rPr>
        <w:t xml:space="preserve"> All </w:t>
      </w:r>
      <w:r w:rsidR="00AC404E" w:rsidRPr="0036349D">
        <w:rPr>
          <w:kern w:val="2"/>
        </w:rPr>
        <w:t>r</w:t>
      </w:r>
      <w:r w:rsidRPr="0036349D">
        <w:rPr>
          <w:kern w:val="2"/>
        </w:rPr>
        <w:t xml:space="preserve">ecords shall be retained and securely maintained or archived for the duration of the appropriate </w:t>
      </w:r>
      <w:r w:rsidR="00AC404E" w:rsidRPr="0036349D">
        <w:rPr>
          <w:kern w:val="2"/>
        </w:rPr>
        <w:t>r</w:t>
      </w:r>
      <w:r w:rsidRPr="0036349D">
        <w:rPr>
          <w:kern w:val="2"/>
        </w:rPr>
        <w:t xml:space="preserve">etention </w:t>
      </w:r>
      <w:r w:rsidR="00AC404E" w:rsidRPr="0036349D">
        <w:rPr>
          <w:kern w:val="2"/>
        </w:rPr>
        <w:t>p</w:t>
      </w:r>
      <w:r w:rsidRPr="0036349D">
        <w:rPr>
          <w:kern w:val="2"/>
        </w:rPr>
        <w:t xml:space="preserve">eriod, as set forth in the </w:t>
      </w:r>
      <w:r w:rsidR="00AC404E" w:rsidRPr="0036349D">
        <w:rPr>
          <w:kern w:val="2"/>
        </w:rPr>
        <w:t>r</w:t>
      </w:r>
      <w:r w:rsidRPr="0036349D">
        <w:rPr>
          <w:kern w:val="2"/>
        </w:rPr>
        <w:t xml:space="preserve">etention </w:t>
      </w:r>
      <w:r w:rsidR="00AC404E" w:rsidRPr="0036349D">
        <w:rPr>
          <w:kern w:val="2"/>
        </w:rPr>
        <w:t>p</w:t>
      </w:r>
      <w:r w:rsidRPr="0036349D">
        <w:rPr>
          <w:kern w:val="2"/>
        </w:rPr>
        <w:t xml:space="preserve">eriod </w:t>
      </w:r>
      <w:r w:rsidR="00AC404E" w:rsidRPr="0036349D">
        <w:rPr>
          <w:kern w:val="2"/>
        </w:rPr>
        <w:t>s</w:t>
      </w:r>
      <w:r w:rsidRPr="0036349D">
        <w:rPr>
          <w:kern w:val="2"/>
        </w:rPr>
        <w:t xml:space="preserve">ummary attached to this </w:t>
      </w:r>
      <w:r w:rsidR="00AC404E" w:rsidRPr="0036349D">
        <w:rPr>
          <w:kern w:val="2"/>
        </w:rPr>
        <w:t>p</w:t>
      </w:r>
      <w:r w:rsidRPr="0036349D">
        <w:rPr>
          <w:kern w:val="2"/>
        </w:rPr>
        <w:t xml:space="preserve">olicy and </w:t>
      </w:r>
      <w:r w:rsidR="00AC404E" w:rsidRPr="0036349D">
        <w:rPr>
          <w:kern w:val="2"/>
        </w:rPr>
        <w:t>p</w:t>
      </w:r>
      <w:r w:rsidRPr="0036349D">
        <w:rPr>
          <w:kern w:val="2"/>
        </w:rPr>
        <w:t>rocedure.</w:t>
      </w:r>
    </w:p>
    <w:p w:rsidR="00890926" w:rsidRPr="0036349D" w:rsidRDefault="00890926" w:rsidP="00890926">
      <w:pPr>
        <w:rPr>
          <w:kern w:val="2"/>
        </w:rPr>
      </w:pPr>
    </w:p>
    <w:p w:rsidR="00890926" w:rsidRPr="0036349D" w:rsidRDefault="00890926" w:rsidP="00890926">
      <w:pPr>
        <w:jc w:val="both"/>
        <w:rPr>
          <w:kern w:val="2"/>
        </w:rPr>
      </w:pPr>
      <w:r w:rsidRPr="0036349D">
        <w:rPr>
          <w:b/>
          <w:kern w:val="2"/>
        </w:rPr>
        <w:t xml:space="preserve">2.  Annual </w:t>
      </w:r>
      <w:r w:rsidR="00AC404E" w:rsidRPr="0036349D">
        <w:rPr>
          <w:b/>
          <w:kern w:val="2"/>
        </w:rPr>
        <w:t>r</w:t>
      </w:r>
      <w:r w:rsidRPr="0036349D">
        <w:rPr>
          <w:b/>
          <w:kern w:val="2"/>
        </w:rPr>
        <w:t xml:space="preserve">ecords </w:t>
      </w:r>
      <w:r w:rsidR="00AC404E" w:rsidRPr="0036349D">
        <w:rPr>
          <w:b/>
          <w:kern w:val="2"/>
        </w:rPr>
        <w:t>r</w:t>
      </w:r>
      <w:r w:rsidRPr="0036349D">
        <w:rPr>
          <w:b/>
          <w:kern w:val="2"/>
        </w:rPr>
        <w:t>eview.</w:t>
      </w:r>
      <w:r w:rsidRPr="0036349D">
        <w:rPr>
          <w:kern w:val="2"/>
        </w:rPr>
        <w:t xml:space="preserve"> </w:t>
      </w:r>
      <w:r w:rsidR="002E6F65" w:rsidRPr="002E6F65">
        <w:rPr>
          <w:i/>
          <w:kern w:val="2"/>
        </w:rPr>
        <w:t xml:space="preserve">Health Center </w:t>
      </w:r>
      <w:r w:rsidRPr="0036349D">
        <w:rPr>
          <w:kern w:val="2"/>
        </w:rPr>
        <w:t xml:space="preserve">senior management shall ensure that </w:t>
      </w:r>
      <w:r w:rsidR="00AC404E" w:rsidRPr="0036349D">
        <w:rPr>
          <w:kern w:val="2"/>
        </w:rPr>
        <w:t>r</w:t>
      </w:r>
      <w:r w:rsidRPr="0036349D">
        <w:rPr>
          <w:kern w:val="2"/>
        </w:rPr>
        <w:t xml:space="preserve">ecords systems are reviewed no less frequently than annually, and that </w:t>
      </w:r>
      <w:r w:rsidR="00AC404E" w:rsidRPr="0036349D">
        <w:rPr>
          <w:kern w:val="2"/>
        </w:rPr>
        <w:t>r</w:t>
      </w:r>
      <w:r w:rsidRPr="0036349D">
        <w:rPr>
          <w:kern w:val="2"/>
        </w:rPr>
        <w:t xml:space="preserve">ecords that no longer are required to be maintained by the </w:t>
      </w:r>
      <w:r w:rsidR="00AC404E" w:rsidRPr="0036349D">
        <w:rPr>
          <w:kern w:val="2"/>
        </w:rPr>
        <w:t>r</w:t>
      </w:r>
      <w:r w:rsidRPr="0036349D">
        <w:rPr>
          <w:kern w:val="2"/>
        </w:rPr>
        <w:t xml:space="preserve">etention </w:t>
      </w:r>
      <w:r w:rsidR="00AC404E" w:rsidRPr="0036349D">
        <w:rPr>
          <w:kern w:val="2"/>
        </w:rPr>
        <w:t>p</w:t>
      </w:r>
      <w:r w:rsidRPr="0036349D">
        <w:rPr>
          <w:kern w:val="2"/>
        </w:rPr>
        <w:t xml:space="preserve">eriod </w:t>
      </w:r>
      <w:r w:rsidR="00AC404E" w:rsidRPr="0036349D">
        <w:rPr>
          <w:kern w:val="2"/>
        </w:rPr>
        <w:t>s</w:t>
      </w:r>
      <w:r w:rsidRPr="0036349D">
        <w:rPr>
          <w:kern w:val="2"/>
        </w:rPr>
        <w:t xml:space="preserve">ummary attached to this </w:t>
      </w:r>
      <w:r w:rsidR="00AC404E" w:rsidRPr="0036349D">
        <w:rPr>
          <w:kern w:val="2"/>
        </w:rPr>
        <w:t>p</w:t>
      </w:r>
      <w:r w:rsidRPr="0036349D">
        <w:rPr>
          <w:kern w:val="2"/>
        </w:rPr>
        <w:t xml:space="preserve">olicy and </w:t>
      </w:r>
      <w:r w:rsidR="00AC404E" w:rsidRPr="0036349D">
        <w:rPr>
          <w:kern w:val="2"/>
        </w:rPr>
        <w:t>p</w:t>
      </w:r>
      <w:r w:rsidRPr="0036349D">
        <w:rPr>
          <w:kern w:val="2"/>
        </w:rPr>
        <w:t>rocedure are p</w:t>
      </w:r>
      <w:r w:rsidR="00A6357E">
        <w:rPr>
          <w:kern w:val="2"/>
        </w:rPr>
        <w:t xml:space="preserve">roperly archived or destroyed. </w:t>
      </w:r>
      <w:r w:rsidRPr="0036349D">
        <w:rPr>
          <w:kern w:val="2"/>
        </w:rPr>
        <w:t xml:space="preserve">Destruction of any </w:t>
      </w:r>
      <w:r w:rsidR="00AC404E" w:rsidRPr="0036349D">
        <w:rPr>
          <w:kern w:val="2"/>
        </w:rPr>
        <w:t>r</w:t>
      </w:r>
      <w:r w:rsidRPr="0036349D">
        <w:rPr>
          <w:kern w:val="2"/>
        </w:rPr>
        <w:t>ecords shall be authorized only in accordance with applicable statutes, regulations, standards, and policies, and overseen by appropriate senior management.</w:t>
      </w:r>
    </w:p>
    <w:p w:rsidR="00890926" w:rsidRPr="0036349D" w:rsidRDefault="00890926" w:rsidP="00890926">
      <w:pPr>
        <w:jc w:val="both"/>
        <w:rPr>
          <w:kern w:val="2"/>
        </w:rPr>
      </w:pPr>
    </w:p>
    <w:p w:rsidR="00890926" w:rsidRPr="0036349D" w:rsidRDefault="00890926" w:rsidP="00890926">
      <w:pPr>
        <w:jc w:val="both"/>
        <w:rPr>
          <w:kern w:val="2"/>
        </w:rPr>
      </w:pPr>
      <w:r w:rsidRPr="0036349D">
        <w:rPr>
          <w:b/>
          <w:kern w:val="2"/>
        </w:rPr>
        <w:t xml:space="preserve">3.  Audits and </w:t>
      </w:r>
      <w:r w:rsidR="00AC404E" w:rsidRPr="0036349D">
        <w:rPr>
          <w:b/>
          <w:kern w:val="2"/>
        </w:rPr>
        <w:t>v</w:t>
      </w:r>
      <w:r w:rsidRPr="0036349D">
        <w:rPr>
          <w:b/>
          <w:kern w:val="2"/>
        </w:rPr>
        <w:t xml:space="preserve">erification of </w:t>
      </w:r>
      <w:r w:rsidR="00AC404E" w:rsidRPr="0036349D">
        <w:rPr>
          <w:b/>
          <w:kern w:val="2"/>
        </w:rPr>
        <w:t>r</w:t>
      </w:r>
      <w:r w:rsidRPr="0036349D">
        <w:rPr>
          <w:b/>
          <w:kern w:val="2"/>
        </w:rPr>
        <w:t xml:space="preserve">ecord </w:t>
      </w:r>
      <w:r w:rsidR="00AC404E" w:rsidRPr="0036349D">
        <w:rPr>
          <w:b/>
          <w:kern w:val="2"/>
        </w:rPr>
        <w:t>p</w:t>
      </w:r>
      <w:r w:rsidRPr="0036349D">
        <w:rPr>
          <w:b/>
          <w:kern w:val="2"/>
        </w:rPr>
        <w:t xml:space="preserve">olicy </w:t>
      </w:r>
      <w:r w:rsidR="00AC404E" w:rsidRPr="0036349D">
        <w:rPr>
          <w:b/>
          <w:kern w:val="2"/>
        </w:rPr>
        <w:t>c</w:t>
      </w:r>
      <w:r w:rsidRPr="0036349D">
        <w:rPr>
          <w:b/>
          <w:kern w:val="2"/>
        </w:rPr>
        <w:t>ompliance.</w:t>
      </w:r>
      <w:r w:rsidRPr="0036349D">
        <w:rPr>
          <w:kern w:val="2"/>
        </w:rPr>
        <w:t xml:space="preserve"> </w:t>
      </w:r>
      <w:r w:rsidR="002E6F65" w:rsidRPr="002E6F65">
        <w:rPr>
          <w:i/>
          <w:kern w:val="2"/>
        </w:rPr>
        <w:t xml:space="preserve">Health Center </w:t>
      </w:r>
      <w:r w:rsidRPr="0036349D">
        <w:rPr>
          <w:kern w:val="2"/>
        </w:rPr>
        <w:t xml:space="preserve">supervisors shall conduct regular audits and monitoring to ensure that </w:t>
      </w:r>
      <w:r w:rsidR="002E6F65" w:rsidRPr="002E6F65">
        <w:rPr>
          <w:i/>
          <w:kern w:val="2"/>
        </w:rPr>
        <w:t xml:space="preserve">Health Center </w:t>
      </w:r>
      <w:r w:rsidR="00AC404E" w:rsidRPr="0036349D">
        <w:rPr>
          <w:kern w:val="2"/>
        </w:rPr>
        <w:t>r</w:t>
      </w:r>
      <w:r w:rsidRPr="0036349D">
        <w:rPr>
          <w:kern w:val="2"/>
        </w:rPr>
        <w:t>ecords are retained, securely maintained, archived or destroyed appropriately.</w:t>
      </w:r>
      <w:r w:rsidR="00AC404E" w:rsidRPr="0036349D">
        <w:rPr>
          <w:kern w:val="2"/>
        </w:rPr>
        <w:t xml:space="preserve"> </w:t>
      </w:r>
      <w:r w:rsidRPr="0036349D">
        <w:rPr>
          <w:kern w:val="2"/>
        </w:rPr>
        <w:t>Such audits and monitoring may include analysis of compliance with all requirements related to confidentiality of various types of information (</w:t>
      </w:r>
      <w:r w:rsidRPr="0036349D">
        <w:rPr>
          <w:kern w:val="2"/>
          <w:u w:val="single"/>
        </w:rPr>
        <w:t>e.g.</w:t>
      </w:r>
      <w:r w:rsidRPr="0036349D">
        <w:rPr>
          <w:kern w:val="2"/>
        </w:rPr>
        <w:t>, confidential information, protected health inform</w:t>
      </w:r>
      <w:r w:rsidR="00A6357E">
        <w:rPr>
          <w:kern w:val="2"/>
        </w:rPr>
        <w:t>ation, personnel information).</w:t>
      </w:r>
    </w:p>
    <w:p w:rsidR="00890926" w:rsidRPr="0036349D" w:rsidRDefault="00890926" w:rsidP="00890926">
      <w:pPr>
        <w:rPr>
          <w:kern w:val="2"/>
        </w:rPr>
      </w:pPr>
    </w:p>
    <w:p w:rsidR="00890926" w:rsidRPr="0036349D" w:rsidRDefault="00890926" w:rsidP="00890926">
      <w:pPr>
        <w:jc w:val="both"/>
        <w:rPr>
          <w:kern w:val="2"/>
        </w:rPr>
      </w:pPr>
      <w:r w:rsidRPr="0036349D">
        <w:rPr>
          <w:b/>
          <w:kern w:val="2"/>
        </w:rPr>
        <w:t xml:space="preserve">4.  Preventing </w:t>
      </w:r>
      <w:r w:rsidR="003F57FE" w:rsidRPr="0036349D">
        <w:rPr>
          <w:b/>
          <w:kern w:val="2"/>
        </w:rPr>
        <w:t>i</w:t>
      </w:r>
      <w:r w:rsidRPr="0036349D">
        <w:rPr>
          <w:b/>
          <w:kern w:val="2"/>
        </w:rPr>
        <w:t xml:space="preserve">mproper </w:t>
      </w:r>
      <w:r w:rsidR="003F57FE" w:rsidRPr="0036349D">
        <w:rPr>
          <w:b/>
          <w:kern w:val="2"/>
        </w:rPr>
        <w:t>r</w:t>
      </w:r>
      <w:r w:rsidRPr="0036349D">
        <w:rPr>
          <w:b/>
          <w:kern w:val="2"/>
        </w:rPr>
        <w:t xml:space="preserve">ecords </w:t>
      </w:r>
      <w:r w:rsidR="003F57FE" w:rsidRPr="0036349D">
        <w:rPr>
          <w:b/>
          <w:kern w:val="2"/>
        </w:rPr>
        <w:t>d</w:t>
      </w:r>
      <w:r w:rsidRPr="0036349D">
        <w:rPr>
          <w:b/>
          <w:kern w:val="2"/>
        </w:rPr>
        <w:t>estruction</w:t>
      </w:r>
      <w:r w:rsidR="00A6357E">
        <w:rPr>
          <w:b/>
          <w:kern w:val="2"/>
        </w:rPr>
        <w:t>.</w:t>
      </w:r>
      <w:r w:rsidR="00A6357E">
        <w:rPr>
          <w:kern w:val="2"/>
        </w:rPr>
        <w:t xml:space="preserve"> </w:t>
      </w:r>
      <w:r w:rsidRPr="0036349D">
        <w:rPr>
          <w:kern w:val="2"/>
        </w:rPr>
        <w:t xml:space="preserve">The </w:t>
      </w:r>
      <w:r w:rsidR="002E6F65" w:rsidRPr="002E6F65">
        <w:rPr>
          <w:i/>
          <w:kern w:val="2"/>
        </w:rPr>
        <w:t xml:space="preserve">Health Center </w:t>
      </w:r>
      <w:smartTag w:uri="urn:schemas-microsoft-com:office:smarttags" w:element="stockticker">
        <w:r w:rsidRPr="0036349D">
          <w:rPr>
            <w:kern w:val="2"/>
          </w:rPr>
          <w:t>CEO</w:t>
        </w:r>
      </w:smartTag>
      <w:r w:rsidRPr="0036349D">
        <w:rPr>
          <w:kern w:val="2"/>
        </w:rPr>
        <w:t xml:space="preserve"> (or his or her designee) will ensure the timely and adequate notification of all </w:t>
      </w:r>
      <w:r w:rsidRPr="0036349D">
        <w:rPr>
          <w:kern w:val="2"/>
          <w:szCs w:val="22"/>
        </w:rPr>
        <w:t xml:space="preserve">Individuals Affiliated with the </w:t>
      </w:r>
      <w:r w:rsidR="002E6F65" w:rsidRPr="002E6F65">
        <w:rPr>
          <w:i/>
          <w:kern w:val="2"/>
          <w:szCs w:val="22"/>
        </w:rPr>
        <w:t xml:space="preserve">Health </w:t>
      </w:r>
      <w:r w:rsidR="002E6F65" w:rsidRPr="002E6F65">
        <w:rPr>
          <w:i/>
          <w:kern w:val="2"/>
          <w:szCs w:val="22"/>
        </w:rPr>
        <w:lastRenderedPageBreak/>
        <w:t xml:space="preserve">Center </w:t>
      </w:r>
      <w:r w:rsidRPr="0036349D">
        <w:rPr>
          <w:kern w:val="2"/>
          <w:szCs w:val="22"/>
        </w:rPr>
        <w:t>(</w:t>
      </w:r>
      <w:r w:rsidRPr="0036349D">
        <w:rPr>
          <w:kern w:val="2"/>
          <w:szCs w:val="22"/>
          <w:u w:val="single"/>
        </w:rPr>
        <w:t>i.e.</w:t>
      </w:r>
      <w:r w:rsidRPr="0036349D">
        <w:rPr>
          <w:kern w:val="2"/>
          <w:szCs w:val="22"/>
        </w:rPr>
        <w:t xml:space="preserve">, Board members, employees, contractors, vendors, agents, and volunteers) </w:t>
      </w:r>
      <w:r w:rsidRPr="0036349D">
        <w:rPr>
          <w:kern w:val="2"/>
        </w:rPr>
        <w:t xml:space="preserve">when </w:t>
      </w:r>
      <w:r w:rsidR="003F57FE" w:rsidRPr="0036349D">
        <w:rPr>
          <w:kern w:val="2"/>
        </w:rPr>
        <w:t>r</w:t>
      </w:r>
      <w:r w:rsidRPr="0036349D">
        <w:rPr>
          <w:kern w:val="2"/>
        </w:rPr>
        <w:t xml:space="preserve">ecords appropriately scheduled for destruction are to be retained, such as in the event of an audit, investigation or litigation involving the </w:t>
      </w:r>
      <w:r w:rsidR="003F57FE" w:rsidRPr="0036349D">
        <w:rPr>
          <w:kern w:val="2"/>
        </w:rPr>
        <w:t>r</w:t>
      </w:r>
      <w:r w:rsidRPr="0036349D">
        <w:rPr>
          <w:kern w:val="2"/>
        </w:rPr>
        <w:t>ecords.</w:t>
      </w:r>
    </w:p>
    <w:p w:rsidR="00890926" w:rsidRPr="0036349D" w:rsidRDefault="00890926" w:rsidP="00890926">
      <w:pPr>
        <w:rPr>
          <w:kern w:val="2"/>
        </w:rPr>
      </w:pPr>
    </w:p>
    <w:p w:rsidR="00890926" w:rsidRPr="001309AE" w:rsidRDefault="00890926" w:rsidP="00890926">
      <w:pPr>
        <w:keepNext/>
        <w:spacing w:after="240"/>
        <w:outlineLvl w:val="0"/>
        <w:rPr>
          <w:kern w:val="2"/>
        </w:rPr>
      </w:pPr>
      <w:proofErr w:type="gramStart"/>
      <w:r w:rsidRPr="001309AE">
        <w:rPr>
          <w:b/>
          <w:kern w:val="2"/>
        </w:rPr>
        <w:t>Definitions</w:t>
      </w:r>
      <w:r w:rsidR="001309AE" w:rsidRPr="001309AE">
        <w:rPr>
          <w:b/>
          <w:kern w:val="2"/>
        </w:rPr>
        <w:t>.</w:t>
      </w:r>
      <w:proofErr w:type="gramEnd"/>
    </w:p>
    <w:p w:rsidR="00890926" w:rsidRPr="0036349D" w:rsidRDefault="00890926" w:rsidP="001309AE">
      <w:pPr>
        <w:ind w:firstLine="360"/>
        <w:jc w:val="both"/>
        <w:rPr>
          <w:bCs/>
          <w:kern w:val="2"/>
        </w:rPr>
      </w:pPr>
      <w:r w:rsidRPr="0036349D">
        <w:rPr>
          <w:b/>
          <w:kern w:val="2"/>
        </w:rPr>
        <w:t>Records</w:t>
      </w:r>
      <w:r w:rsidR="001309AE">
        <w:rPr>
          <w:b/>
          <w:kern w:val="2"/>
        </w:rPr>
        <w:t xml:space="preserve">: </w:t>
      </w:r>
      <w:r w:rsidRPr="0036349D">
        <w:rPr>
          <w:kern w:val="2"/>
        </w:rPr>
        <w:t xml:space="preserve">Records include, but are not limited to </w:t>
      </w:r>
      <w:r w:rsidRPr="0036349D">
        <w:rPr>
          <w:bCs/>
          <w:kern w:val="2"/>
          <w:u w:val="single"/>
        </w:rPr>
        <w:t>originals</w:t>
      </w:r>
      <w:r w:rsidRPr="0036349D">
        <w:rPr>
          <w:bCs/>
          <w:kern w:val="2"/>
        </w:rPr>
        <w:t xml:space="preserve"> and </w:t>
      </w:r>
      <w:r w:rsidRPr="0036349D">
        <w:rPr>
          <w:bCs/>
          <w:kern w:val="2"/>
          <w:u w:val="single"/>
        </w:rPr>
        <w:t>copies</w:t>
      </w:r>
      <w:r w:rsidRPr="0036349D">
        <w:rPr>
          <w:bCs/>
          <w:kern w:val="2"/>
        </w:rPr>
        <w:t xml:space="preserve"> of:</w:t>
      </w:r>
    </w:p>
    <w:p w:rsidR="00890926" w:rsidRPr="0036349D" w:rsidRDefault="00890926" w:rsidP="00890926">
      <w:pPr>
        <w:jc w:val="both"/>
        <w:rPr>
          <w:bCs/>
          <w:kern w:val="2"/>
        </w:rPr>
      </w:pPr>
    </w:p>
    <w:p w:rsidR="00890926" w:rsidRPr="0036349D" w:rsidRDefault="00890926" w:rsidP="00890926">
      <w:pPr>
        <w:numPr>
          <w:ilvl w:val="0"/>
          <w:numId w:val="11"/>
        </w:numPr>
        <w:jc w:val="both"/>
        <w:rPr>
          <w:bCs/>
          <w:kern w:val="2"/>
        </w:rPr>
      </w:pPr>
      <w:r w:rsidRPr="0036349D">
        <w:rPr>
          <w:bCs/>
          <w:kern w:val="2"/>
        </w:rPr>
        <w:t>Paper documents.</w:t>
      </w:r>
    </w:p>
    <w:p w:rsidR="00890926" w:rsidRPr="0036349D" w:rsidRDefault="00890926" w:rsidP="00890926">
      <w:pPr>
        <w:numPr>
          <w:ilvl w:val="0"/>
          <w:numId w:val="11"/>
        </w:numPr>
        <w:jc w:val="both"/>
        <w:rPr>
          <w:bCs/>
          <w:kern w:val="2"/>
        </w:rPr>
      </w:pPr>
      <w:r w:rsidRPr="0036349D">
        <w:rPr>
          <w:bCs/>
          <w:kern w:val="2"/>
        </w:rPr>
        <w:t>Films, microfilms, photographs, x-rays.</w:t>
      </w:r>
    </w:p>
    <w:p w:rsidR="00890926" w:rsidRPr="0036349D" w:rsidRDefault="00890926" w:rsidP="00890926">
      <w:pPr>
        <w:numPr>
          <w:ilvl w:val="0"/>
          <w:numId w:val="11"/>
        </w:numPr>
        <w:jc w:val="both"/>
        <w:rPr>
          <w:bCs/>
          <w:kern w:val="2"/>
        </w:rPr>
      </w:pPr>
      <w:r w:rsidRPr="0036349D">
        <w:rPr>
          <w:bCs/>
          <w:kern w:val="2"/>
        </w:rPr>
        <w:t>Electronic documents, e-mails, scanned images, structured data, etc., regardless of storage location:</w:t>
      </w:r>
    </w:p>
    <w:p w:rsidR="00890926" w:rsidRPr="0036349D" w:rsidRDefault="00890926" w:rsidP="00890926">
      <w:pPr>
        <w:numPr>
          <w:ilvl w:val="1"/>
          <w:numId w:val="11"/>
        </w:numPr>
        <w:ind w:left="1440"/>
        <w:jc w:val="both"/>
        <w:rPr>
          <w:bCs/>
          <w:kern w:val="2"/>
        </w:rPr>
      </w:pPr>
      <w:r w:rsidRPr="0036349D">
        <w:rPr>
          <w:bCs/>
          <w:kern w:val="2"/>
        </w:rPr>
        <w:t>Network drives.</w:t>
      </w:r>
    </w:p>
    <w:p w:rsidR="00890926" w:rsidRPr="0036349D" w:rsidRDefault="00890926" w:rsidP="00890926">
      <w:pPr>
        <w:numPr>
          <w:ilvl w:val="1"/>
          <w:numId w:val="11"/>
        </w:numPr>
        <w:ind w:left="1440"/>
        <w:jc w:val="both"/>
        <w:rPr>
          <w:bCs/>
          <w:kern w:val="2"/>
        </w:rPr>
      </w:pPr>
      <w:r w:rsidRPr="0036349D">
        <w:rPr>
          <w:bCs/>
          <w:kern w:val="2"/>
        </w:rPr>
        <w:t>Electronic database programs.</w:t>
      </w:r>
    </w:p>
    <w:p w:rsidR="00890926" w:rsidRPr="0036349D" w:rsidRDefault="00890926" w:rsidP="00890926">
      <w:pPr>
        <w:numPr>
          <w:ilvl w:val="1"/>
          <w:numId w:val="11"/>
        </w:numPr>
        <w:ind w:left="1440"/>
        <w:jc w:val="both"/>
        <w:rPr>
          <w:bCs/>
          <w:kern w:val="2"/>
        </w:rPr>
      </w:pPr>
      <w:r w:rsidRPr="0036349D">
        <w:rPr>
          <w:bCs/>
          <w:kern w:val="2"/>
        </w:rPr>
        <w:t>Desktop and laptop hard drives.</w:t>
      </w:r>
    </w:p>
    <w:p w:rsidR="00890926" w:rsidRPr="0036349D" w:rsidRDefault="00890926" w:rsidP="00890926">
      <w:pPr>
        <w:numPr>
          <w:ilvl w:val="1"/>
          <w:numId w:val="11"/>
        </w:numPr>
        <w:ind w:left="1440"/>
        <w:jc w:val="both"/>
        <w:rPr>
          <w:bCs/>
          <w:kern w:val="2"/>
        </w:rPr>
      </w:pPr>
      <w:r w:rsidRPr="0036349D">
        <w:rPr>
          <w:bCs/>
          <w:kern w:val="2"/>
        </w:rPr>
        <w:t>Mobile devices (telephones, personal digital assistants, Blackberries, etc.).</w:t>
      </w:r>
    </w:p>
    <w:p w:rsidR="00890926" w:rsidRPr="0036349D" w:rsidRDefault="00890926" w:rsidP="00890926">
      <w:pPr>
        <w:numPr>
          <w:ilvl w:val="1"/>
          <w:numId w:val="11"/>
        </w:numPr>
        <w:ind w:left="1440"/>
        <w:jc w:val="both"/>
        <w:rPr>
          <w:bCs/>
          <w:kern w:val="2"/>
        </w:rPr>
      </w:pPr>
      <w:r w:rsidRPr="0036349D">
        <w:rPr>
          <w:bCs/>
          <w:kern w:val="2"/>
        </w:rPr>
        <w:t>External media:</w:t>
      </w:r>
    </w:p>
    <w:p w:rsidR="00890926" w:rsidRPr="0036349D" w:rsidRDefault="00890926" w:rsidP="00890926">
      <w:pPr>
        <w:numPr>
          <w:ilvl w:val="1"/>
          <w:numId w:val="11"/>
        </w:numPr>
        <w:ind w:left="2160"/>
        <w:jc w:val="both"/>
        <w:rPr>
          <w:bCs/>
          <w:kern w:val="2"/>
        </w:rPr>
      </w:pPr>
      <w:r w:rsidRPr="0036349D">
        <w:rPr>
          <w:bCs/>
          <w:kern w:val="2"/>
        </w:rPr>
        <w:t>Hard Drives.</w:t>
      </w:r>
    </w:p>
    <w:p w:rsidR="00890926" w:rsidRPr="0036349D" w:rsidRDefault="00890926" w:rsidP="00890926">
      <w:pPr>
        <w:numPr>
          <w:ilvl w:val="1"/>
          <w:numId w:val="11"/>
        </w:numPr>
        <w:ind w:left="2160"/>
        <w:jc w:val="both"/>
        <w:rPr>
          <w:bCs/>
          <w:kern w:val="2"/>
        </w:rPr>
      </w:pPr>
      <w:r w:rsidRPr="0036349D">
        <w:rPr>
          <w:bCs/>
          <w:kern w:val="2"/>
        </w:rPr>
        <w:t>CDs and DVDs.</w:t>
      </w:r>
    </w:p>
    <w:p w:rsidR="00890926" w:rsidRPr="0036349D" w:rsidRDefault="00890926" w:rsidP="00890926">
      <w:pPr>
        <w:numPr>
          <w:ilvl w:val="1"/>
          <w:numId w:val="11"/>
        </w:numPr>
        <w:ind w:left="2160"/>
        <w:jc w:val="both"/>
        <w:rPr>
          <w:bCs/>
          <w:kern w:val="2"/>
        </w:rPr>
      </w:pPr>
      <w:smartTag w:uri="urn:schemas-microsoft-com:office:smarttags" w:element="stockticker">
        <w:r w:rsidRPr="0036349D">
          <w:rPr>
            <w:bCs/>
            <w:kern w:val="2"/>
          </w:rPr>
          <w:t>USB</w:t>
        </w:r>
      </w:smartTag>
      <w:r w:rsidRPr="0036349D">
        <w:rPr>
          <w:bCs/>
          <w:kern w:val="2"/>
        </w:rPr>
        <w:t xml:space="preserve"> drives.</w:t>
      </w:r>
    </w:p>
    <w:p w:rsidR="00890926" w:rsidRPr="0036349D" w:rsidRDefault="00890926" w:rsidP="00890926">
      <w:pPr>
        <w:numPr>
          <w:ilvl w:val="1"/>
          <w:numId w:val="11"/>
        </w:numPr>
        <w:ind w:left="2160"/>
        <w:jc w:val="both"/>
        <w:rPr>
          <w:bCs/>
          <w:kern w:val="2"/>
        </w:rPr>
      </w:pPr>
      <w:r w:rsidRPr="0036349D">
        <w:rPr>
          <w:kern w:val="2"/>
        </w:rPr>
        <w:t>iPhones and similar devices.</w:t>
      </w:r>
    </w:p>
    <w:p w:rsidR="00890926" w:rsidRPr="0036349D" w:rsidRDefault="00890926" w:rsidP="00890926">
      <w:pPr>
        <w:keepNext/>
        <w:jc w:val="both"/>
        <w:outlineLvl w:val="0"/>
        <w:rPr>
          <w:b/>
          <w:kern w:val="2"/>
          <w:u w:val="single"/>
        </w:rPr>
      </w:pPr>
    </w:p>
    <w:p w:rsidR="003F57FE" w:rsidRPr="0036349D" w:rsidRDefault="003F57FE" w:rsidP="003F57FE">
      <w:pPr>
        <w:rPr>
          <w:b/>
          <w:kern w:val="2"/>
        </w:rPr>
      </w:pPr>
      <w:r w:rsidRPr="0036349D">
        <w:rPr>
          <w:b/>
          <w:kern w:val="2"/>
        </w:rPr>
        <w:t xml:space="preserve">This policy and procedure shall be periodically reviewed and updated consistent with the requirements and standards established by the Board of Directors and </w:t>
      </w:r>
      <w:r w:rsidR="002E6F65" w:rsidRPr="002E6F65">
        <w:rPr>
          <w:b/>
          <w:i/>
          <w:kern w:val="2"/>
        </w:rPr>
        <w:t xml:space="preserve">Health Center </w:t>
      </w:r>
      <w:r w:rsidRPr="0036349D">
        <w:rPr>
          <w:b/>
          <w:kern w:val="2"/>
        </w:rPr>
        <w:t>management, federal and state laws and regulations, and applicable accrediting and review organizations.</w:t>
      </w:r>
    </w:p>
    <w:p w:rsidR="003F57FE" w:rsidRPr="0036349D" w:rsidRDefault="003F57FE" w:rsidP="003F57FE">
      <w:pPr>
        <w:rPr>
          <w:kern w:val="2"/>
        </w:rPr>
      </w:pPr>
    </w:p>
    <w:p w:rsidR="003F57FE" w:rsidRPr="0036349D" w:rsidRDefault="003F57FE" w:rsidP="003F57FE">
      <w:pPr>
        <w:rPr>
          <w:b/>
          <w:kern w:val="2"/>
        </w:rPr>
      </w:pPr>
      <w:r w:rsidRPr="0036349D">
        <w:rPr>
          <w:b/>
          <w:kern w:val="2"/>
        </w:rPr>
        <w:t xml:space="preserve">Responsible </w:t>
      </w:r>
      <w:r w:rsidR="00297A90" w:rsidRPr="0036349D">
        <w:rPr>
          <w:b/>
          <w:kern w:val="2"/>
        </w:rPr>
        <w:t>p</w:t>
      </w:r>
      <w:r w:rsidRPr="0036349D">
        <w:rPr>
          <w:b/>
          <w:kern w:val="2"/>
        </w:rPr>
        <w:t>arties:</w:t>
      </w:r>
    </w:p>
    <w:p w:rsidR="003F57FE" w:rsidRPr="0036349D" w:rsidRDefault="003F57FE" w:rsidP="003F57FE">
      <w:pPr>
        <w:rPr>
          <w:b/>
          <w:kern w:val="2"/>
        </w:rPr>
      </w:pPr>
    </w:p>
    <w:p w:rsidR="003F57FE" w:rsidRPr="0036349D" w:rsidRDefault="003F57FE" w:rsidP="003F57FE">
      <w:pPr>
        <w:pStyle w:val="Heading3"/>
        <w:spacing w:before="0"/>
        <w:rPr>
          <w:rFonts w:cs="Times New Roman"/>
          <w:b w:val="0"/>
          <w:kern w:val="2"/>
          <w:szCs w:val="24"/>
          <w:u w:val="single"/>
        </w:rPr>
      </w:pPr>
      <w:r w:rsidRPr="0036349D">
        <w:rPr>
          <w:rFonts w:ascii="Times New Roman" w:hAnsi="Times New Roman" w:cs="Times New Roman"/>
          <w:b w:val="0"/>
          <w:color w:val="auto"/>
          <w:kern w:val="2"/>
          <w:szCs w:val="24"/>
          <w:u w:val="single"/>
        </w:rPr>
        <w:t>Signature</w:t>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t>Date</w:t>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r w:rsidRPr="0036349D">
        <w:rPr>
          <w:rFonts w:ascii="Times New Roman" w:hAnsi="Times New Roman" w:cs="Times New Roman"/>
          <w:b w:val="0"/>
          <w:color w:val="auto"/>
          <w:kern w:val="2"/>
          <w:szCs w:val="24"/>
          <w:u w:val="single"/>
        </w:rPr>
        <w:tab/>
      </w:r>
    </w:p>
    <w:p w:rsidR="003F57FE" w:rsidRPr="0036349D" w:rsidRDefault="003F57FE" w:rsidP="003F57FE">
      <w:pPr>
        <w:pStyle w:val="Heading3"/>
        <w:spacing w:before="0"/>
        <w:rPr>
          <w:kern w:val="2"/>
          <w:szCs w:val="24"/>
        </w:rPr>
      </w:pPr>
      <w:r w:rsidRPr="0036349D">
        <w:rPr>
          <w:rFonts w:ascii="Times New Roman" w:hAnsi="Times New Roman"/>
          <w:b w:val="0"/>
          <w:color w:val="auto"/>
          <w:kern w:val="2"/>
          <w:szCs w:val="24"/>
        </w:rPr>
        <w:t>Executive Director</w:t>
      </w:r>
    </w:p>
    <w:p w:rsidR="003F57FE" w:rsidRPr="0036349D" w:rsidRDefault="003F57FE" w:rsidP="003F57FE">
      <w:pPr>
        <w:jc w:val="both"/>
        <w:rPr>
          <w:kern w:val="2"/>
        </w:rPr>
      </w:pPr>
    </w:p>
    <w:p w:rsidR="003F57FE" w:rsidRPr="0036349D" w:rsidRDefault="003F57FE" w:rsidP="003F57FE">
      <w:pPr>
        <w:pStyle w:val="3"/>
        <w:rPr>
          <w:bCs/>
          <w:kern w:val="2"/>
          <w:szCs w:val="24"/>
        </w:rPr>
      </w:pPr>
      <w:r w:rsidRPr="0036349D">
        <w:rPr>
          <w:kern w:val="2"/>
          <w:szCs w:val="24"/>
          <w:u w:val="single"/>
        </w:rPr>
        <w:t>Signature</w:t>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t>Date</w:t>
      </w:r>
      <w:r w:rsidRPr="0036349D">
        <w:rPr>
          <w:kern w:val="2"/>
          <w:szCs w:val="24"/>
          <w:u w:val="single"/>
        </w:rPr>
        <w:tab/>
      </w:r>
      <w:r w:rsidRPr="0036349D">
        <w:rPr>
          <w:kern w:val="2"/>
          <w:szCs w:val="24"/>
          <w:u w:val="single"/>
        </w:rPr>
        <w:tab/>
      </w:r>
      <w:r w:rsidRPr="0036349D">
        <w:rPr>
          <w:kern w:val="2"/>
          <w:szCs w:val="24"/>
          <w:u w:val="single"/>
        </w:rPr>
        <w:tab/>
      </w:r>
      <w:r w:rsidRPr="0036349D">
        <w:rPr>
          <w:kern w:val="2"/>
          <w:szCs w:val="24"/>
          <w:u w:val="single"/>
        </w:rPr>
        <w:tab/>
      </w:r>
    </w:p>
    <w:p w:rsidR="003F57FE" w:rsidRPr="0036349D" w:rsidRDefault="003F57FE" w:rsidP="003F57FE">
      <w:pPr>
        <w:rPr>
          <w:kern w:val="2"/>
        </w:rPr>
      </w:pPr>
    </w:p>
    <w:p w:rsidR="00890926" w:rsidRPr="00A6357E" w:rsidRDefault="00890926" w:rsidP="00A6357E">
      <w:pPr>
        <w:rPr>
          <w:kern w:val="2"/>
        </w:rPr>
      </w:pPr>
    </w:p>
    <w:p w:rsidR="00890926" w:rsidRPr="0036349D" w:rsidRDefault="00890926" w:rsidP="004C0495">
      <w:pPr>
        <w:jc w:val="both"/>
        <w:rPr>
          <w:b/>
          <w:bCs/>
          <w:kern w:val="2"/>
        </w:rPr>
      </w:pPr>
    </w:p>
    <w:p w:rsidR="00890926" w:rsidRPr="0036349D" w:rsidRDefault="00890926" w:rsidP="004C0495">
      <w:pPr>
        <w:jc w:val="both"/>
        <w:rPr>
          <w:b/>
          <w:bCs/>
          <w:kern w:val="2"/>
        </w:rPr>
      </w:pPr>
    </w:p>
    <w:p w:rsidR="00890926" w:rsidRPr="0036349D" w:rsidRDefault="00890926" w:rsidP="004C0495">
      <w:pPr>
        <w:jc w:val="both"/>
        <w:rPr>
          <w:b/>
          <w:bCs/>
          <w:kern w:val="2"/>
        </w:rPr>
      </w:pPr>
    </w:p>
    <w:p w:rsidR="008B06E6" w:rsidRDefault="008B06E6">
      <w:pPr>
        <w:spacing w:after="200" w:line="276" w:lineRule="auto"/>
        <w:rPr>
          <w:b/>
          <w:kern w:val="2"/>
          <w:u w:val="single"/>
        </w:rPr>
      </w:pPr>
      <w:r>
        <w:rPr>
          <w:b/>
          <w:kern w:val="2"/>
          <w:u w:val="single"/>
        </w:rPr>
        <w:br w:type="page"/>
      </w:r>
    </w:p>
    <w:p w:rsidR="00652060" w:rsidRPr="0036349D" w:rsidRDefault="00652060" w:rsidP="00DF7011">
      <w:pPr>
        <w:jc w:val="center"/>
        <w:rPr>
          <w:b/>
          <w:kern w:val="2"/>
          <w:u w:val="single"/>
        </w:rPr>
      </w:pPr>
      <w:r w:rsidRPr="0036349D">
        <w:rPr>
          <w:b/>
          <w:kern w:val="2"/>
          <w:u w:val="single"/>
        </w:rPr>
        <w:lastRenderedPageBreak/>
        <w:t>Retention Period Summary</w:t>
      </w:r>
    </w:p>
    <w:p w:rsidR="00652060" w:rsidRPr="0036349D" w:rsidRDefault="00652060" w:rsidP="00652060">
      <w:pPr>
        <w:jc w:val="center"/>
        <w:rPr>
          <w:b/>
          <w:kern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4490"/>
        <w:gridCol w:w="1857"/>
        <w:gridCol w:w="2063"/>
      </w:tblGrid>
      <w:tr w:rsidR="005D5956" w:rsidRPr="0036349D" w:rsidTr="008064AD">
        <w:trPr>
          <w:cantSplit/>
          <w:trHeight w:val="576"/>
          <w:tblHeader/>
        </w:trPr>
        <w:tc>
          <w:tcPr>
            <w:tcW w:w="1166" w:type="dxa"/>
            <w:shd w:val="clear" w:color="auto" w:fill="D9D9D9"/>
            <w:vAlign w:val="center"/>
          </w:tcPr>
          <w:p w:rsidR="005D5956" w:rsidRPr="0036349D" w:rsidRDefault="005D5956" w:rsidP="005D5956">
            <w:pPr>
              <w:widowControl w:val="0"/>
              <w:autoSpaceDE w:val="0"/>
              <w:autoSpaceDN w:val="0"/>
              <w:adjustRightInd w:val="0"/>
              <w:jc w:val="center"/>
              <w:rPr>
                <w:b/>
                <w:kern w:val="2"/>
                <w:u w:val="single"/>
              </w:rPr>
            </w:pPr>
            <w:r w:rsidRPr="0036349D">
              <w:rPr>
                <w:b/>
                <w:kern w:val="2"/>
                <w:u w:val="single"/>
              </w:rPr>
              <w:t>Category</w:t>
            </w:r>
          </w:p>
        </w:tc>
        <w:tc>
          <w:tcPr>
            <w:tcW w:w="4490" w:type="dxa"/>
            <w:shd w:val="clear" w:color="auto" w:fill="D9D9D9"/>
            <w:vAlign w:val="center"/>
          </w:tcPr>
          <w:p w:rsidR="005D5956" w:rsidRPr="0036349D" w:rsidRDefault="005D5956" w:rsidP="005D5956">
            <w:pPr>
              <w:widowControl w:val="0"/>
              <w:autoSpaceDE w:val="0"/>
              <w:autoSpaceDN w:val="0"/>
              <w:adjustRightInd w:val="0"/>
              <w:jc w:val="center"/>
              <w:rPr>
                <w:b/>
                <w:kern w:val="2"/>
                <w:u w:val="single"/>
              </w:rPr>
            </w:pPr>
            <w:r w:rsidRPr="0036349D">
              <w:rPr>
                <w:b/>
                <w:kern w:val="2"/>
                <w:u w:val="single"/>
              </w:rPr>
              <w:t>Type of Record</w:t>
            </w:r>
          </w:p>
        </w:tc>
        <w:tc>
          <w:tcPr>
            <w:tcW w:w="1857" w:type="dxa"/>
            <w:shd w:val="clear" w:color="auto" w:fill="D9D9D9"/>
          </w:tcPr>
          <w:p w:rsidR="005D5956" w:rsidRPr="0036349D" w:rsidRDefault="005D5956" w:rsidP="005D5956">
            <w:pPr>
              <w:widowControl w:val="0"/>
              <w:autoSpaceDE w:val="0"/>
              <w:autoSpaceDN w:val="0"/>
              <w:adjustRightInd w:val="0"/>
              <w:jc w:val="center"/>
              <w:rPr>
                <w:b/>
                <w:kern w:val="2"/>
                <w:u w:val="single"/>
              </w:rPr>
            </w:pPr>
            <w:r w:rsidRPr="0036349D">
              <w:rPr>
                <w:b/>
                <w:kern w:val="2"/>
                <w:u w:val="single"/>
              </w:rPr>
              <w:t xml:space="preserve">Minimum </w:t>
            </w:r>
            <w:r w:rsidRPr="0036349D">
              <w:rPr>
                <w:b/>
                <w:kern w:val="2"/>
                <w:u w:val="single"/>
              </w:rPr>
              <w:br/>
              <w:t>Retention Period*</w:t>
            </w:r>
          </w:p>
        </w:tc>
        <w:tc>
          <w:tcPr>
            <w:tcW w:w="2063" w:type="dxa"/>
            <w:shd w:val="clear" w:color="auto" w:fill="D9D9D9"/>
            <w:vAlign w:val="center"/>
          </w:tcPr>
          <w:p w:rsidR="005D5956" w:rsidRPr="0036349D" w:rsidRDefault="005D5956" w:rsidP="005D5956">
            <w:pPr>
              <w:widowControl w:val="0"/>
              <w:autoSpaceDE w:val="0"/>
              <w:autoSpaceDN w:val="0"/>
              <w:adjustRightInd w:val="0"/>
              <w:jc w:val="center"/>
              <w:rPr>
                <w:b/>
                <w:kern w:val="2"/>
                <w:u w:val="single"/>
              </w:rPr>
            </w:pPr>
            <w:r w:rsidRPr="0036349D">
              <w:rPr>
                <w:b/>
                <w:kern w:val="2"/>
                <w:u w:val="single"/>
              </w:rPr>
              <w:t>Authority</w:t>
            </w:r>
          </w:p>
        </w:tc>
      </w:tr>
      <w:tr w:rsidR="008064AD" w:rsidRPr="0036349D" w:rsidTr="00F72EF1">
        <w:trPr>
          <w:cantSplit/>
        </w:trPr>
        <w:tc>
          <w:tcPr>
            <w:tcW w:w="9576" w:type="dxa"/>
            <w:gridSpan w:val="4"/>
            <w:vAlign w:val="center"/>
          </w:tcPr>
          <w:p w:rsidR="008064AD" w:rsidRPr="0036349D" w:rsidRDefault="008064AD" w:rsidP="005D5956">
            <w:pPr>
              <w:widowControl w:val="0"/>
              <w:autoSpaceDE w:val="0"/>
              <w:autoSpaceDN w:val="0"/>
              <w:adjustRightInd w:val="0"/>
              <w:rPr>
                <w:kern w:val="2"/>
              </w:rPr>
            </w:pPr>
            <w:r w:rsidRPr="0036349D">
              <w:rPr>
                <w:b/>
                <w:kern w:val="2"/>
              </w:rPr>
              <w:t>Corporate documents</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tcPr>
          <w:p w:rsidR="005D5956" w:rsidRPr="0036349D" w:rsidRDefault="005D5956" w:rsidP="005D5956">
            <w:pPr>
              <w:widowControl w:val="0"/>
              <w:numPr>
                <w:ilvl w:val="0"/>
                <w:numId w:val="2"/>
              </w:numPr>
              <w:autoSpaceDE w:val="0"/>
              <w:autoSpaceDN w:val="0"/>
              <w:adjustRightInd w:val="0"/>
              <w:rPr>
                <w:kern w:val="2"/>
              </w:rPr>
            </w:pPr>
            <w:r w:rsidRPr="0036349D">
              <w:rPr>
                <w:kern w:val="2"/>
              </w:rPr>
              <w:t xml:space="preserve">Articles of incorporation (and amendments) </w:t>
            </w:r>
          </w:p>
          <w:p w:rsidR="005D5956" w:rsidRPr="0036349D" w:rsidRDefault="005D5956" w:rsidP="00EC26FD">
            <w:pPr>
              <w:widowControl w:val="0"/>
              <w:numPr>
                <w:ilvl w:val="0"/>
                <w:numId w:val="2"/>
              </w:numPr>
              <w:autoSpaceDE w:val="0"/>
              <w:autoSpaceDN w:val="0"/>
              <w:adjustRightInd w:val="0"/>
              <w:rPr>
                <w:kern w:val="2"/>
              </w:rPr>
            </w:pPr>
            <w:r w:rsidRPr="0036349D">
              <w:rPr>
                <w:kern w:val="2"/>
              </w:rPr>
              <w:t>By</w:t>
            </w:r>
            <w:r w:rsidR="008064AD" w:rsidRPr="0036349D">
              <w:rPr>
                <w:kern w:val="2"/>
              </w:rPr>
              <w:t>-</w:t>
            </w:r>
            <w:r w:rsidRPr="0036349D">
              <w:rPr>
                <w:kern w:val="2"/>
              </w:rPr>
              <w:t>laws (and amendments)</w:t>
            </w:r>
          </w:p>
          <w:p w:rsidR="002D4BE2" w:rsidRPr="0036349D" w:rsidRDefault="002D4BE2" w:rsidP="00EC26FD">
            <w:pPr>
              <w:widowControl w:val="0"/>
              <w:numPr>
                <w:ilvl w:val="0"/>
                <w:numId w:val="2"/>
              </w:numPr>
              <w:autoSpaceDE w:val="0"/>
              <w:autoSpaceDN w:val="0"/>
              <w:adjustRightInd w:val="0"/>
              <w:rPr>
                <w:kern w:val="2"/>
              </w:rPr>
            </w:pPr>
            <w:r w:rsidRPr="0036349D">
              <w:rPr>
                <w:kern w:val="2"/>
              </w:rPr>
              <w:t>Board minutes</w:t>
            </w: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Indefinitely</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tcPr>
          <w:p w:rsidR="00701F19" w:rsidRPr="0036349D" w:rsidRDefault="00701F19" w:rsidP="004C0495">
            <w:pPr>
              <w:widowControl w:val="0"/>
              <w:autoSpaceDE w:val="0"/>
              <w:autoSpaceDN w:val="0"/>
              <w:adjustRightInd w:val="0"/>
              <w:ind w:left="720"/>
              <w:rPr>
                <w:kern w:val="2"/>
              </w:rPr>
            </w:pPr>
          </w:p>
          <w:p w:rsidR="00701F19" w:rsidRPr="0036349D" w:rsidRDefault="00701F19" w:rsidP="004C0495">
            <w:pPr>
              <w:widowControl w:val="0"/>
              <w:autoSpaceDE w:val="0"/>
              <w:autoSpaceDN w:val="0"/>
              <w:adjustRightInd w:val="0"/>
              <w:ind w:left="720"/>
              <w:rPr>
                <w:kern w:val="2"/>
              </w:rPr>
            </w:pPr>
          </w:p>
          <w:p w:rsidR="005D5956" w:rsidRPr="0036349D" w:rsidRDefault="005D5956" w:rsidP="00FD2875">
            <w:pPr>
              <w:widowControl w:val="0"/>
              <w:numPr>
                <w:ilvl w:val="0"/>
                <w:numId w:val="3"/>
              </w:numPr>
              <w:autoSpaceDE w:val="0"/>
              <w:autoSpaceDN w:val="0"/>
              <w:adjustRightInd w:val="0"/>
              <w:rPr>
                <w:kern w:val="2"/>
              </w:rPr>
            </w:pPr>
            <w:r w:rsidRPr="0036349D">
              <w:rPr>
                <w:kern w:val="2"/>
              </w:rPr>
              <w:t xml:space="preserve">Mission statement </w:t>
            </w:r>
          </w:p>
          <w:p w:rsidR="005D5956" w:rsidRPr="0036349D" w:rsidRDefault="005D5956" w:rsidP="005D5956">
            <w:pPr>
              <w:widowControl w:val="0"/>
              <w:numPr>
                <w:ilvl w:val="0"/>
                <w:numId w:val="3"/>
              </w:numPr>
              <w:autoSpaceDE w:val="0"/>
              <w:autoSpaceDN w:val="0"/>
              <w:adjustRightInd w:val="0"/>
              <w:rPr>
                <w:kern w:val="2"/>
              </w:rPr>
            </w:pPr>
            <w:r w:rsidRPr="0036349D">
              <w:rPr>
                <w:kern w:val="2"/>
              </w:rPr>
              <w:t xml:space="preserve">List of Board members </w:t>
            </w:r>
          </w:p>
          <w:p w:rsidR="005D5956" w:rsidRPr="0036349D" w:rsidRDefault="005D5956" w:rsidP="005D5956">
            <w:pPr>
              <w:widowControl w:val="0"/>
              <w:numPr>
                <w:ilvl w:val="0"/>
                <w:numId w:val="3"/>
              </w:numPr>
              <w:autoSpaceDE w:val="0"/>
              <w:autoSpaceDN w:val="0"/>
              <w:adjustRightInd w:val="0"/>
              <w:rPr>
                <w:kern w:val="2"/>
              </w:rPr>
            </w:pPr>
            <w:r w:rsidRPr="0036349D">
              <w:rPr>
                <w:kern w:val="2"/>
              </w:rPr>
              <w:t>Organizational chart</w:t>
            </w:r>
          </w:p>
        </w:tc>
        <w:tc>
          <w:tcPr>
            <w:tcW w:w="1857" w:type="dxa"/>
            <w:vAlign w:val="center"/>
          </w:tcPr>
          <w:p w:rsidR="00701F19" w:rsidRPr="0036349D" w:rsidRDefault="005D5956" w:rsidP="005D5956">
            <w:pPr>
              <w:widowControl w:val="0"/>
              <w:autoSpaceDE w:val="0"/>
              <w:autoSpaceDN w:val="0"/>
              <w:adjustRightInd w:val="0"/>
              <w:rPr>
                <w:kern w:val="2"/>
              </w:rPr>
            </w:pPr>
            <w:r w:rsidRPr="0036349D">
              <w:rPr>
                <w:kern w:val="2"/>
              </w:rPr>
              <w:t>Until subsequent version amended</w:t>
            </w:r>
          </w:p>
          <w:p w:rsidR="00732E98" w:rsidRPr="0036349D" w:rsidRDefault="00732E98" w:rsidP="005D5956">
            <w:pPr>
              <w:widowControl w:val="0"/>
              <w:autoSpaceDE w:val="0"/>
              <w:autoSpaceDN w:val="0"/>
              <w:adjustRightInd w:val="0"/>
              <w:rPr>
                <w:kern w:val="2"/>
              </w:rPr>
            </w:pPr>
          </w:p>
          <w:p w:rsidR="00732E98" w:rsidRPr="0036349D" w:rsidRDefault="00732E98" w:rsidP="005D5956">
            <w:pPr>
              <w:widowControl w:val="0"/>
              <w:autoSpaceDE w:val="0"/>
              <w:autoSpaceDN w:val="0"/>
              <w:adjustRightInd w:val="0"/>
              <w:rPr>
                <w:kern w:val="2"/>
              </w:rPr>
            </w:pPr>
            <w:r w:rsidRPr="0036349D">
              <w:rPr>
                <w:kern w:val="2"/>
              </w:rPr>
              <w:t>Maintain past organization chart(s) if reorganization in previous 3 years</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8"/>
              </w:numPr>
              <w:autoSpaceDE w:val="0"/>
              <w:autoSpaceDN w:val="0"/>
              <w:adjustRightInd w:val="0"/>
              <w:rPr>
                <w:kern w:val="2"/>
              </w:rPr>
            </w:pPr>
            <w:r w:rsidRPr="0036349D">
              <w:rPr>
                <w:kern w:val="2"/>
              </w:rPr>
              <w:t>Application for tax-exempt status</w:t>
            </w:r>
          </w:p>
          <w:p w:rsidR="005D5956" w:rsidRPr="0036349D" w:rsidRDefault="005D5956" w:rsidP="005D5956">
            <w:pPr>
              <w:widowControl w:val="0"/>
              <w:numPr>
                <w:ilvl w:val="0"/>
                <w:numId w:val="8"/>
              </w:numPr>
              <w:autoSpaceDE w:val="0"/>
              <w:autoSpaceDN w:val="0"/>
              <w:adjustRightInd w:val="0"/>
              <w:rPr>
                <w:kern w:val="2"/>
              </w:rPr>
            </w:pPr>
            <w:r w:rsidRPr="0036349D">
              <w:rPr>
                <w:kern w:val="2"/>
              </w:rPr>
              <w:t>Supporting documentation</w:t>
            </w:r>
          </w:p>
          <w:p w:rsidR="005D5956" w:rsidRPr="0036349D" w:rsidRDefault="005D5956" w:rsidP="005D5956">
            <w:pPr>
              <w:widowControl w:val="0"/>
              <w:numPr>
                <w:ilvl w:val="0"/>
                <w:numId w:val="8"/>
              </w:numPr>
              <w:autoSpaceDE w:val="0"/>
              <w:autoSpaceDN w:val="0"/>
              <w:adjustRightInd w:val="0"/>
              <w:rPr>
                <w:kern w:val="2"/>
              </w:rPr>
            </w:pPr>
            <w:r w:rsidRPr="0036349D">
              <w:rPr>
                <w:kern w:val="2"/>
              </w:rPr>
              <w:t xml:space="preserve">IRS exemption letter </w:t>
            </w: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Indefinitely</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tcPr>
          <w:p w:rsidR="00701F19" w:rsidRPr="0036349D" w:rsidRDefault="00701F19" w:rsidP="004C0495">
            <w:pPr>
              <w:widowControl w:val="0"/>
              <w:autoSpaceDE w:val="0"/>
              <w:autoSpaceDN w:val="0"/>
              <w:adjustRightInd w:val="0"/>
              <w:ind w:left="720"/>
              <w:rPr>
                <w:kern w:val="2"/>
              </w:rPr>
            </w:pPr>
          </w:p>
          <w:p w:rsidR="00701F19" w:rsidRPr="0036349D" w:rsidRDefault="00701F19" w:rsidP="004C0495">
            <w:pPr>
              <w:widowControl w:val="0"/>
              <w:autoSpaceDE w:val="0"/>
              <w:autoSpaceDN w:val="0"/>
              <w:adjustRightInd w:val="0"/>
              <w:ind w:left="720"/>
              <w:rPr>
                <w:kern w:val="2"/>
              </w:rPr>
            </w:pPr>
          </w:p>
          <w:p w:rsidR="00067369" w:rsidRPr="0036349D" w:rsidRDefault="004561AD" w:rsidP="00067369">
            <w:pPr>
              <w:widowControl w:val="0"/>
              <w:numPr>
                <w:ilvl w:val="0"/>
                <w:numId w:val="9"/>
              </w:numPr>
              <w:autoSpaceDE w:val="0"/>
              <w:autoSpaceDN w:val="0"/>
              <w:adjustRightInd w:val="0"/>
              <w:rPr>
                <w:kern w:val="2"/>
              </w:rPr>
            </w:pPr>
            <w:r w:rsidRPr="0036349D">
              <w:rPr>
                <w:kern w:val="2"/>
              </w:rPr>
              <w:t>Corporate</w:t>
            </w:r>
            <w:r w:rsidR="005D5956" w:rsidRPr="0036349D">
              <w:rPr>
                <w:kern w:val="2"/>
              </w:rPr>
              <w:t xml:space="preserve"> tax records</w:t>
            </w:r>
            <w:r w:rsidR="00067369" w:rsidRPr="0036349D">
              <w:rPr>
                <w:kern w:val="2"/>
              </w:rPr>
              <w:t>/documents</w:t>
            </w:r>
            <w:r w:rsidR="005D5956" w:rsidRPr="0036349D">
              <w:rPr>
                <w:kern w:val="2"/>
              </w:rPr>
              <w:t xml:space="preserve"> </w:t>
            </w:r>
            <w:r w:rsidR="005D5956" w:rsidRPr="0036349D">
              <w:rPr>
                <w:kern w:val="2"/>
              </w:rPr>
              <w:br/>
              <w:t>(including 990s)</w:t>
            </w:r>
          </w:p>
        </w:tc>
        <w:tc>
          <w:tcPr>
            <w:tcW w:w="1857" w:type="dxa"/>
            <w:vAlign w:val="center"/>
          </w:tcPr>
          <w:p w:rsidR="005D5956" w:rsidRPr="0036349D" w:rsidRDefault="004561AD" w:rsidP="005D5956">
            <w:pPr>
              <w:widowControl w:val="0"/>
              <w:autoSpaceDE w:val="0"/>
              <w:autoSpaceDN w:val="0"/>
              <w:adjustRightInd w:val="0"/>
              <w:rPr>
                <w:kern w:val="2"/>
              </w:rPr>
            </w:pPr>
            <w:r w:rsidRPr="0036349D">
              <w:rPr>
                <w:kern w:val="2"/>
              </w:rPr>
              <w:t>6</w:t>
            </w:r>
            <w:r w:rsidR="005D5956" w:rsidRPr="0036349D">
              <w:rPr>
                <w:kern w:val="2"/>
              </w:rPr>
              <w:t xml:space="preserve"> years from filing</w:t>
            </w:r>
            <w:r w:rsidR="00BF7517" w:rsidRPr="0036349D">
              <w:rPr>
                <w:kern w:val="2"/>
              </w:rPr>
              <w:t>, per good business practice</w:t>
            </w:r>
          </w:p>
          <w:p w:rsidR="00BF7517" w:rsidRPr="0036349D" w:rsidRDefault="00BF7517" w:rsidP="005D5956">
            <w:pPr>
              <w:widowControl w:val="0"/>
              <w:autoSpaceDE w:val="0"/>
              <w:autoSpaceDN w:val="0"/>
              <w:adjustRightInd w:val="0"/>
              <w:rPr>
                <w:kern w:val="2"/>
              </w:rPr>
            </w:pPr>
          </w:p>
          <w:p w:rsidR="00BF7517" w:rsidRPr="0036349D" w:rsidRDefault="00BF7517" w:rsidP="005D5956">
            <w:pPr>
              <w:widowControl w:val="0"/>
              <w:autoSpaceDE w:val="0"/>
              <w:autoSpaceDN w:val="0"/>
              <w:adjustRightInd w:val="0"/>
              <w:rPr>
                <w:kern w:val="2"/>
              </w:rPr>
            </w:pPr>
            <w:r w:rsidRPr="0036349D">
              <w:rPr>
                <w:kern w:val="2"/>
              </w:rPr>
              <w:t>3 years from filing, per IRS</w:t>
            </w:r>
          </w:p>
        </w:tc>
        <w:tc>
          <w:tcPr>
            <w:tcW w:w="2063" w:type="dxa"/>
            <w:vAlign w:val="center"/>
          </w:tcPr>
          <w:p w:rsidR="005D5956" w:rsidRPr="0036349D" w:rsidRDefault="004561AD" w:rsidP="005D5956">
            <w:pPr>
              <w:widowControl w:val="0"/>
              <w:autoSpaceDE w:val="0"/>
              <w:autoSpaceDN w:val="0"/>
              <w:adjustRightInd w:val="0"/>
              <w:rPr>
                <w:kern w:val="2"/>
              </w:rPr>
            </w:pPr>
            <w:r w:rsidRPr="0036349D">
              <w:rPr>
                <w:kern w:val="2"/>
              </w:rPr>
              <w:t>Good business practice</w:t>
            </w:r>
          </w:p>
          <w:p w:rsidR="00BF7517" w:rsidRPr="0036349D" w:rsidRDefault="00BF7517" w:rsidP="005D5956">
            <w:pPr>
              <w:widowControl w:val="0"/>
              <w:autoSpaceDE w:val="0"/>
              <w:autoSpaceDN w:val="0"/>
              <w:adjustRightInd w:val="0"/>
              <w:rPr>
                <w:kern w:val="2"/>
              </w:rPr>
            </w:pPr>
          </w:p>
          <w:p w:rsidR="00BF7517" w:rsidRPr="0036349D" w:rsidRDefault="00BF7517" w:rsidP="00FD2875">
            <w:pPr>
              <w:widowControl w:val="0"/>
              <w:autoSpaceDE w:val="0"/>
              <w:autoSpaceDN w:val="0"/>
              <w:adjustRightInd w:val="0"/>
              <w:rPr>
                <w:kern w:val="2"/>
              </w:rPr>
            </w:pPr>
            <w:r w:rsidRPr="0036349D">
              <w:rPr>
                <w:kern w:val="2"/>
              </w:rPr>
              <w:t xml:space="preserve">IRS: 26 U.S.C. </w:t>
            </w:r>
            <w:r w:rsidR="008A6006" w:rsidRPr="0036349D">
              <w:rPr>
                <w:kern w:val="2"/>
              </w:rPr>
              <w:t>§</w:t>
            </w:r>
            <w:r w:rsidRPr="0036349D">
              <w:rPr>
                <w:kern w:val="2"/>
              </w:rPr>
              <w:t>§ 6033</w:t>
            </w:r>
            <w:r w:rsidR="008A6006" w:rsidRPr="0036349D">
              <w:rPr>
                <w:kern w:val="2"/>
              </w:rPr>
              <w:t>; 6501</w:t>
            </w:r>
          </w:p>
        </w:tc>
      </w:tr>
      <w:tr w:rsidR="008064AD" w:rsidRPr="0036349D" w:rsidTr="00D8750C">
        <w:trPr>
          <w:cantSplit/>
        </w:trPr>
        <w:tc>
          <w:tcPr>
            <w:tcW w:w="9576" w:type="dxa"/>
            <w:gridSpan w:val="4"/>
            <w:vAlign w:val="center"/>
          </w:tcPr>
          <w:p w:rsidR="008064AD" w:rsidRPr="0036349D" w:rsidRDefault="008064AD" w:rsidP="005D5956">
            <w:pPr>
              <w:widowControl w:val="0"/>
              <w:autoSpaceDE w:val="0"/>
              <w:autoSpaceDN w:val="0"/>
              <w:adjustRightInd w:val="0"/>
              <w:rPr>
                <w:kern w:val="2"/>
              </w:rPr>
            </w:pPr>
            <w:r w:rsidRPr="0036349D">
              <w:rPr>
                <w:b/>
                <w:kern w:val="2"/>
              </w:rPr>
              <w:t>Federal grant related records</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ind w:left="720"/>
              <w:rPr>
                <w:kern w:val="2"/>
              </w:rPr>
            </w:pPr>
          </w:p>
        </w:tc>
        <w:tc>
          <w:tcPr>
            <w:tcW w:w="4490" w:type="dxa"/>
            <w:vAlign w:val="center"/>
          </w:tcPr>
          <w:p w:rsidR="005D5956" w:rsidRPr="0036349D" w:rsidRDefault="00AC52C6" w:rsidP="005D5956">
            <w:pPr>
              <w:widowControl w:val="0"/>
              <w:numPr>
                <w:ilvl w:val="0"/>
                <w:numId w:val="6"/>
              </w:numPr>
              <w:autoSpaceDE w:val="0"/>
              <w:autoSpaceDN w:val="0"/>
              <w:adjustRightInd w:val="0"/>
              <w:rPr>
                <w:kern w:val="2"/>
              </w:rPr>
            </w:pPr>
            <w:r w:rsidRPr="0036349D">
              <w:rPr>
                <w:kern w:val="2"/>
              </w:rPr>
              <w:t>FQHC Look-Alike</w:t>
            </w:r>
            <w:r w:rsidR="0055526A" w:rsidRPr="0036349D">
              <w:rPr>
                <w:kern w:val="2"/>
              </w:rPr>
              <w:t>s:</w:t>
            </w:r>
            <w:r w:rsidRPr="0036349D">
              <w:rPr>
                <w:kern w:val="2"/>
              </w:rPr>
              <w:t xml:space="preserve"> application</w:t>
            </w:r>
            <w:r w:rsidR="0055526A" w:rsidRPr="0036349D">
              <w:rPr>
                <w:kern w:val="2"/>
              </w:rPr>
              <w:t xml:space="preserve"> for designation</w:t>
            </w:r>
            <w:r w:rsidRPr="0036349D">
              <w:rPr>
                <w:kern w:val="2"/>
              </w:rPr>
              <w:t>, HRSA designation recommendation</w:t>
            </w:r>
            <w:r w:rsidR="0055526A" w:rsidRPr="0036349D">
              <w:rPr>
                <w:kern w:val="2"/>
              </w:rPr>
              <w:t>, CMS designation decision and all related correspondence, including change in scope requests and DHHS approvals</w:t>
            </w:r>
          </w:p>
          <w:p w:rsidR="005D5956" w:rsidRPr="0036349D" w:rsidRDefault="005D5956" w:rsidP="004C0495">
            <w:pPr>
              <w:widowControl w:val="0"/>
              <w:autoSpaceDE w:val="0"/>
              <w:autoSpaceDN w:val="0"/>
              <w:adjustRightInd w:val="0"/>
              <w:ind w:left="720"/>
              <w:rPr>
                <w:kern w:val="2"/>
              </w:rPr>
            </w:pP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Indefinitely</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ind w:left="720"/>
              <w:rPr>
                <w:kern w:val="2"/>
              </w:rPr>
            </w:pPr>
          </w:p>
        </w:tc>
        <w:tc>
          <w:tcPr>
            <w:tcW w:w="4490" w:type="dxa"/>
            <w:vAlign w:val="center"/>
          </w:tcPr>
          <w:p w:rsidR="00AC52C6" w:rsidRPr="0036349D" w:rsidRDefault="00AC52C6" w:rsidP="005D5956">
            <w:pPr>
              <w:widowControl w:val="0"/>
              <w:numPr>
                <w:ilvl w:val="0"/>
                <w:numId w:val="6"/>
              </w:numPr>
              <w:autoSpaceDE w:val="0"/>
              <w:autoSpaceDN w:val="0"/>
              <w:adjustRightInd w:val="0"/>
              <w:rPr>
                <w:kern w:val="2"/>
              </w:rPr>
            </w:pPr>
            <w:r w:rsidRPr="0036349D">
              <w:rPr>
                <w:kern w:val="2"/>
              </w:rPr>
              <w:t>Applications for grants</w:t>
            </w:r>
          </w:p>
          <w:p w:rsidR="005D5956" w:rsidRPr="0036349D" w:rsidRDefault="005D5956" w:rsidP="005D5956">
            <w:pPr>
              <w:widowControl w:val="0"/>
              <w:numPr>
                <w:ilvl w:val="0"/>
                <w:numId w:val="6"/>
              </w:numPr>
              <w:autoSpaceDE w:val="0"/>
              <w:autoSpaceDN w:val="0"/>
              <w:adjustRightInd w:val="0"/>
              <w:rPr>
                <w:kern w:val="2"/>
              </w:rPr>
            </w:pPr>
            <w:r w:rsidRPr="0036349D">
              <w:rPr>
                <w:kern w:val="2"/>
              </w:rPr>
              <w:t>Notices of Grant Awards</w:t>
            </w:r>
          </w:p>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Responses to conditions </w:t>
            </w:r>
          </w:p>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Other correspondence </w:t>
            </w:r>
          </w:p>
          <w:p w:rsidR="005D5956" w:rsidRPr="0036349D" w:rsidRDefault="005D5956" w:rsidP="005D5956">
            <w:pPr>
              <w:widowControl w:val="0"/>
              <w:numPr>
                <w:ilvl w:val="0"/>
                <w:numId w:val="6"/>
              </w:numPr>
              <w:autoSpaceDE w:val="0"/>
              <w:autoSpaceDN w:val="0"/>
              <w:adjustRightInd w:val="0"/>
              <w:rPr>
                <w:kern w:val="2"/>
              </w:rPr>
            </w:pPr>
            <w:r w:rsidRPr="0036349D">
              <w:rPr>
                <w:kern w:val="2"/>
              </w:rPr>
              <w:t>Any amendments</w:t>
            </w:r>
          </w:p>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Bank statements and financial reports </w:t>
            </w:r>
          </w:p>
          <w:p w:rsidR="005D5956" w:rsidRPr="0036349D" w:rsidRDefault="00544735" w:rsidP="005D5956">
            <w:pPr>
              <w:widowControl w:val="0"/>
              <w:numPr>
                <w:ilvl w:val="0"/>
                <w:numId w:val="6"/>
              </w:numPr>
              <w:autoSpaceDE w:val="0"/>
              <w:autoSpaceDN w:val="0"/>
              <w:adjustRightInd w:val="0"/>
              <w:rPr>
                <w:kern w:val="2"/>
              </w:rPr>
            </w:pPr>
            <w:r w:rsidRPr="0036349D">
              <w:rPr>
                <w:kern w:val="2"/>
              </w:rPr>
              <w:t>Annual audits</w:t>
            </w:r>
          </w:p>
          <w:p w:rsidR="00544735" w:rsidRPr="0036349D" w:rsidRDefault="00544735" w:rsidP="005D5956">
            <w:pPr>
              <w:widowControl w:val="0"/>
              <w:numPr>
                <w:ilvl w:val="0"/>
                <w:numId w:val="6"/>
              </w:numPr>
              <w:autoSpaceDE w:val="0"/>
              <w:autoSpaceDN w:val="0"/>
              <w:adjustRightInd w:val="0"/>
              <w:rPr>
                <w:kern w:val="2"/>
              </w:rPr>
            </w:pPr>
            <w:r w:rsidRPr="0036349D">
              <w:rPr>
                <w:kern w:val="2"/>
              </w:rPr>
              <w:t>Purchases of supplies</w:t>
            </w: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 xml:space="preserve">3 years from submission </w:t>
            </w:r>
            <w:r w:rsidRPr="0036349D">
              <w:rPr>
                <w:kern w:val="2"/>
              </w:rPr>
              <w:br/>
              <w:t>of the related</w:t>
            </w:r>
          </w:p>
          <w:p w:rsidR="005D5956" w:rsidRPr="0036349D" w:rsidRDefault="005D5956" w:rsidP="005D5956">
            <w:pPr>
              <w:widowControl w:val="0"/>
              <w:autoSpaceDE w:val="0"/>
              <w:autoSpaceDN w:val="0"/>
              <w:adjustRightInd w:val="0"/>
              <w:rPr>
                <w:kern w:val="2"/>
              </w:rPr>
            </w:pPr>
            <w:r w:rsidRPr="0036349D">
              <w:rPr>
                <w:kern w:val="2"/>
              </w:rPr>
              <w:t>financial report</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Federal grant regulations:</w:t>
            </w:r>
          </w:p>
          <w:p w:rsidR="005D5956" w:rsidRPr="0036349D" w:rsidRDefault="005D5956" w:rsidP="00FD2875">
            <w:pPr>
              <w:widowControl w:val="0"/>
              <w:autoSpaceDE w:val="0"/>
              <w:autoSpaceDN w:val="0"/>
              <w:adjustRightInd w:val="0"/>
              <w:rPr>
                <w:kern w:val="2"/>
              </w:rPr>
            </w:pPr>
            <w:r w:rsidRPr="0036349D">
              <w:rPr>
                <w:kern w:val="2"/>
              </w:rPr>
              <w:t xml:space="preserve">45 C.F.R. § </w:t>
            </w:r>
            <w:r w:rsidR="00AC52C6" w:rsidRPr="0036349D">
              <w:rPr>
                <w:kern w:val="2"/>
              </w:rPr>
              <w:t>75.361</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ind w:left="720"/>
              <w:rPr>
                <w:kern w:val="2"/>
              </w:rPr>
            </w:pPr>
          </w:p>
        </w:tc>
        <w:tc>
          <w:tcPr>
            <w:tcW w:w="4490" w:type="dxa"/>
            <w:vAlign w:val="center"/>
          </w:tcPr>
          <w:p w:rsidR="005D5956" w:rsidRPr="0036349D" w:rsidRDefault="00BE2CE5" w:rsidP="005D5956">
            <w:pPr>
              <w:widowControl w:val="0"/>
              <w:numPr>
                <w:ilvl w:val="0"/>
                <w:numId w:val="6"/>
              </w:numPr>
              <w:autoSpaceDE w:val="0"/>
              <w:autoSpaceDN w:val="0"/>
              <w:adjustRightInd w:val="0"/>
              <w:rPr>
                <w:kern w:val="2"/>
              </w:rPr>
            </w:pPr>
            <w:r w:rsidRPr="0036349D">
              <w:rPr>
                <w:kern w:val="2"/>
              </w:rPr>
              <w:t>Records of real property (including Notices of Federal Interest) and equipment purchased with federal funds</w:t>
            </w:r>
          </w:p>
        </w:tc>
        <w:tc>
          <w:tcPr>
            <w:tcW w:w="1857" w:type="dxa"/>
            <w:vAlign w:val="center"/>
          </w:tcPr>
          <w:p w:rsidR="005D5956" w:rsidRPr="0036349D" w:rsidRDefault="00BE2CE5" w:rsidP="002E7DE9">
            <w:pPr>
              <w:widowControl w:val="0"/>
              <w:autoSpaceDE w:val="0"/>
              <w:autoSpaceDN w:val="0"/>
              <w:adjustRightInd w:val="0"/>
              <w:rPr>
                <w:kern w:val="2"/>
              </w:rPr>
            </w:pPr>
            <w:r w:rsidRPr="0036349D">
              <w:rPr>
                <w:kern w:val="2"/>
              </w:rPr>
              <w:t>3 years from disposition</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Federal grant regulations:</w:t>
            </w:r>
          </w:p>
          <w:p w:rsidR="005D5956" w:rsidRPr="0036349D" w:rsidRDefault="002E7DE9" w:rsidP="005D5956">
            <w:pPr>
              <w:widowControl w:val="0"/>
              <w:autoSpaceDE w:val="0"/>
              <w:autoSpaceDN w:val="0"/>
              <w:adjustRightInd w:val="0"/>
              <w:rPr>
                <w:kern w:val="2"/>
              </w:rPr>
            </w:pPr>
            <w:r w:rsidRPr="0036349D">
              <w:rPr>
                <w:kern w:val="2"/>
              </w:rPr>
              <w:t>45 C.F.R. § 75.361</w:t>
            </w:r>
            <w:r w:rsidR="00BE2CE5" w:rsidRPr="0036349D">
              <w:rPr>
                <w:kern w:val="2"/>
              </w:rPr>
              <w:t>(c)</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Contracts/</w:t>
            </w:r>
            <w:r w:rsidR="00F615B4" w:rsidRPr="0036349D">
              <w:rPr>
                <w:kern w:val="2"/>
              </w:rPr>
              <w:t>p</w:t>
            </w:r>
            <w:r w:rsidRPr="0036349D">
              <w:rPr>
                <w:kern w:val="2"/>
              </w:rPr>
              <w:t>urchase/procurement Agreements</w:t>
            </w:r>
          </w:p>
        </w:tc>
        <w:tc>
          <w:tcPr>
            <w:tcW w:w="1857" w:type="dxa"/>
            <w:vAlign w:val="center"/>
          </w:tcPr>
          <w:p w:rsidR="005D5956" w:rsidRPr="0036349D" w:rsidRDefault="00544735" w:rsidP="005D5956">
            <w:pPr>
              <w:widowControl w:val="0"/>
              <w:autoSpaceDE w:val="0"/>
              <w:autoSpaceDN w:val="0"/>
              <w:adjustRightInd w:val="0"/>
              <w:rPr>
                <w:kern w:val="2"/>
              </w:rPr>
            </w:pPr>
            <w:r w:rsidRPr="0036349D">
              <w:rPr>
                <w:kern w:val="2"/>
              </w:rPr>
              <w:t>3 years from the date of submission of the relevant quarterly, annual, or final expenditure report</w:t>
            </w:r>
            <w:r w:rsidRPr="0036349D" w:rsidDel="00544735">
              <w:rPr>
                <w:kern w:val="2"/>
              </w:rPr>
              <w:t xml:space="preserve"> </w:t>
            </w:r>
          </w:p>
        </w:tc>
        <w:tc>
          <w:tcPr>
            <w:tcW w:w="2063" w:type="dxa"/>
            <w:vAlign w:val="center"/>
          </w:tcPr>
          <w:p w:rsidR="00544735" w:rsidRPr="0036349D" w:rsidRDefault="00544735" w:rsidP="00544735">
            <w:pPr>
              <w:widowControl w:val="0"/>
              <w:autoSpaceDE w:val="0"/>
              <w:autoSpaceDN w:val="0"/>
              <w:adjustRightInd w:val="0"/>
              <w:rPr>
                <w:kern w:val="2"/>
              </w:rPr>
            </w:pPr>
            <w:r w:rsidRPr="0036349D">
              <w:rPr>
                <w:kern w:val="2"/>
              </w:rPr>
              <w:t>Federal grant regulations:</w:t>
            </w:r>
          </w:p>
          <w:p w:rsidR="005D5956" w:rsidRPr="0036349D" w:rsidRDefault="00544735" w:rsidP="005D5956">
            <w:pPr>
              <w:widowControl w:val="0"/>
              <w:autoSpaceDE w:val="0"/>
              <w:autoSpaceDN w:val="0"/>
              <w:adjustRightInd w:val="0"/>
              <w:rPr>
                <w:kern w:val="2"/>
              </w:rPr>
            </w:pPr>
            <w:r w:rsidRPr="0036349D">
              <w:rPr>
                <w:kern w:val="2"/>
              </w:rPr>
              <w:t>45 C.F.R. § 75.361</w:t>
            </w:r>
          </w:p>
        </w:tc>
      </w:tr>
      <w:tr w:rsidR="008064AD" w:rsidRPr="0036349D" w:rsidTr="0092601E">
        <w:trPr>
          <w:cantSplit/>
        </w:trPr>
        <w:tc>
          <w:tcPr>
            <w:tcW w:w="9576" w:type="dxa"/>
            <w:gridSpan w:val="4"/>
            <w:vAlign w:val="center"/>
          </w:tcPr>
          <w:p w:rsidR="008064AD" w:rsidRPr="0036349D" w:rsidRDefault="008064AD" w:rsidP="005D5956">
            <w:pPr>
              <w:widowControl w:val="0"/>
              <w:autoSpaceDE w:val="0"/>
              <w:autoSpaceDN w:val="0"/>
              <w:adjustRightInd w:val="0"/>
              <w:rPr>
                <w:kern w:val="2"/>
              </w:rPr>
            </w:pPr>
            <w:r w:rsidRPr="0036349D">
              <w:rPr>
                <w:b/>
                <w:kern w:val="2"/>
              </w:rPr>
              <w:t>Health care-related records</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Medicare/Medicaid claims for reimbursement, cost reports</w:t>
            </w:r>
          </w:p>
        </w:tc>
        <w:tc>
          <w:tcPr>
            <w:tcW w:w="1857" w:type="dxa"/>
            <w:vAlign w:val="center"/>
          </w:tcPr>
          <w:p w:rsidR="005D5956" w:rsidRPr="0036349D" w:rsidRDefault="00343209" w:rsidP="005D5956">
            <w:pPr>
              <w:widowControl w:val="0"/>
              <w:autoSpaceDE w:val="0"/>
              <w:autoSpaceDN w:val="0"/>
              <w:adjustRightInd w:val="0"/>
              <w:rPr>
                <w:kern w:val="2"/>
              </w:rPr>
            </w:pPr>
            <w:r w:rsidRPr="0036349D">
              <w:rPr>
                <w:kern w:val="2"/>
              </w:rPr>
              <w:t>10</w:t>
            </w:r>
            <w:r w:rsidR="005D5956" w:rsidRPr="0036349D">
              <w:rPr>
                <w:kern w:val="2"/>
              </w:rPr>
              <w:t xml:space="preserve"> years</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 xml:space="preserve">False Claims Act </w:t>
            </w:r>
            <w:r w:rsidRPr="0036349D">
              <w:rPr>
                <w:kern w:val="2"/>
              </w:rPr>
              <w:br/>
              <w:t xml:space="preserve">31 U.S.C. § 3729, </w:t>
            </w:r>
            <w:r w:rsidRPr="0036349D">
              <w:rPr>
                <w:i/>
                <w:kern w:val="2"/>
              </w:rPr>
              <w:t>et seq</w:t>
            </w:r>
            <w:r w:rsidRPr="0036349D">
              <w:rPr>
                <w:kern w:val="2"/>
              </w:rPr>
              <w:t>.</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HIPAA-related records (policies and procedures, notices, etc.) </w:t>
            </w: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6 years</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HIPAA regulations:</w:t>
            </w:r>
          </w:p>
          <w:p w:rsidR="005D5956" w:rsidRPr="0036349D" w:rsidRDefault="005D5956" w:rsidP="00E30DD7">
            <w:pPr>
              <w:widowControl w:val="0"/>
              <w:autoSpaceDE w:val="0"/>
              <w:autoSpaceDN w:val="0"/>
              <w:adjustRightInd w:val="0"/>
              <w:rPr>
                <w:kern w:val="2"/>
              </w:rPr>
            </w:pPr>
            <w:r w:rsidRPr="0036349D">
              <w:rPr>
                <w:kern w:val="2"/>
              </w:rPr>
              <w:t>45 C.F.R. §</w:t>
            </w:r>
            <w:r w:rsidR="00E30DD7" w:rsidRPr="0036349D">
              <w:rPr>
                <w:kern w:val="2"/>
              </w:rPr>
              <w:t>§</w:t>
            </w:r>
            <w:r w:rsidRPr="0036349D">
              <w:rPr>
                <w:kern w:val="2"/>
              </w:rPr>
              <w:t xml:space="preserve"> 164.316</w:t>
            </w:r>
            <w:r w:rsidR="00E30DD7" w:rsidRPr="0036349D">
              <w:rPr>
                <w:kern w:val="2"/>
              </w:rPr>
              <w:t>; 164.530(j)(2)</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Patient medical records</w:t>
            </w:r>
          </w:p>
        </w:tc>
        <w:tc>
          <w:tcPr>
            <w:tcW w:w="1857" w:type="dxa"/>
            <w:vAlign w:val="center"/>
          </w:tcPr>
          <w:p w:rsidR="005D5956" w:rsidRPr="0036349D" w:rsidRDefault="005268FD" w:rsidP="005268FD">
            <w:pPr>
              <w:widowControl w:val="0"/>
              <w:autoSpaceDE w:val="0"/>
              <w:autoSpaceDN w:val="0"/>
              <w:adjustRightInd w:val="0"/>
              <w:rPr>
                <w:i/>
                <w:kern w:val="2"/>
              </w:rPr>
            </w:pPr>
            <w:r w:rsidRPr="0036349D">
              <w:rPr>
                <w:kern w:val="2"/>
              </w:rPr>
              <w:t xml:space="preserve">6 </w:t>
            </w:r>
            <w:r w:rsidR="00441F5F" w:rsidRPr="0036349D">
              <w:rPr>
                <w:kern w:val="2"/>
              </w:rPr>
              <w:t xml:space="preserve">years and </w:t>
            </w:r>
            <w:r w:rsidRPr="0036349D">
              <w:rPr>
                <w:kern w:val="2"/>
              </w:rPr>
              <w:t>sometimes longer for minors</w:t>
            </w:r>
            <w:r w:rsidR="00441F5F" w:rsidRPr="0036349D">
              <w:rPr>
                <w:kern w:val="2"/>
              </w:rPr>
              <w:t xml:space="preserve"> </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 xml:space="preserve">Medicare conditions for certification: </w:t>
            </w:r>
          </w:p>
          <w:p w:rsidR="005D5956" w:rsidRPr="0036349D" w:rsidRDefault="005D5956" w:rsidP="005D5956">
            <w:pPr>
              <w:widowControl w:val="0"/>
              <w:autoSpaceDE w:val="0"/>
              <w:autoSpaceDN w:val="0"/>
              <w:adjustRightInd w:val="0"/>
              <w:rPr>
                <w:kern w:val="2"/>
              </w:rPr>
            </w:pPr>
            <w:r w:rsidRPr="0036349D">
              <w:rPr>
                <w:kern w:val="2"/>
              </w:rPr>
              <w:t>42 C.F.R. § 491.10(c)</w:t>
            </w:r>
          </w:p>
          <w:p w:rsidR="005D5956" w:rsidRPr="0036349D" w:rsidRDefault="005D5956" w:rsidP="005D5956">
            <w:pPr>
              <w:widowControl w:val="0"/>
              <w:autoSpaceDE w:val="0"/>
              <w:autoSpaceDN w:val="0"/>
              <w:adjustRightInd w:val="0"/>
              <w:rPr>
                <w:kern w:val="2"/>
              </w:rPr>
            </w:pPr>
          </w:p>
        </w:tc>
      </w:tr>
      <w:tr w:rsidR="008064AD" w:rsidRPr="0036349D" w:rsidTr="00ED337C">
        <w:trPr>
          <w:cantSplit/>
        </w:trPr>
        <w:tc>
          <w:tcPr>
            <w:tcW w:w="9576" w:type="dxa"/>
            <w:gridSpan w:val="4"/>
            <w:vAlign w:val="center"/>
          </w:tcPr>
          <w:p w:rsidR="008064AD" w:rsidRPr="0036349D" w:rsidRDefault="008064AD" w:rsidP="005D5956">
            <w:pPr>
              <w:widowControl w:val="0"/>
              <w:autoSpaceDE w:val="0"/>
              <w:autoSpaceDN w:val="0"/>
              <w:adjustRightInd w:val="0"/>
              <w:rPr>
                <w:kern w:val="2"/>
              </w:rPr>
            </w:pPr>
            <w:r w:rsidRPr="0036349D">
              <w:rPr>
                <w:b/>
                <w:kern w:val="2"/>
              </w:rPr>
              <w:t>Operational records</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MOUs / Affiliation Agreements </w:t>
            </w:r>
          </w:p>
        </w:tc>
        <w:tc>
          <w:tcPr>
            <w:tcW w:w="1857" w:type="dxa"/>
            <w:vAlign w:val="center"/>
          </w:tcPr>
          <w:p w:rsidR="005D5956" w:rsidRPr="0036349D" w:rsidRDefault="008239A7" w:rsidP="005D5956">
            <w:pPr>
              <w:widowControl w:val="0"/>
              <w:autoSpaceDE w:val="0"/>
              <w:autoSpaceDN w:val="0"/>
              <w:adjustRightInd w:val="0"/>
              <w:rPr>
                <w:kern w:val="2"/>
              </w:rPr>
            </w:pPr>
            <w:r w:rsidRPr="0036349D">
              <w:rPr>
                <w:kern w:val="2"/>
              </w:rPr>
              <w:t>Same 3-year period as for all procurement actions, and/or at least as long as contract is in effect</w:t>
            </w:r>
          </w:p>
        </w:tc>
        <w:tc>
          <w:tcPr>
            <w:tcW w:w="2063" w:type="dxa"/>
            <w:vAlign w:val="center"/>
          </w:tcPr>
          <w:p w:rsidR="005D5956" w:rsidRPr="0036349D" w:rsidRDefault="008239A7"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Insurance policies </w:t>
            </w:r>
          </w:p>
        </w:tc>
        <w:tc>
          <w:tcPr>
            <w:tcW w:w="1857" w:type="dxa"/>
            <w:vAlign w:val="center"/>
          </w:tcPr>
          <w:p w:rsidR="005D5956" w:rsidRPr="0036349D" w:rsidRDefault="00E85DFA" w:rsidP="005D5956">
            <w:pPr>
              <w:widowControl w:val="0"/>
              <w:autoSpaceDE w:val="0"/>
              <w:autoSpaceDN w:val="0"/>
              <w:adjustRightInd w:val="0"/>
              <w:rPr>
                <w:kern w:val="2"/>
              </w:rPr>
            </w:pPr>
            <w:r w:rsidRPr="0036349D">
              <w:rPr>
                <w:kern w:val="2"/>
              </w:rPr>
              <w:t>As long as they are in effect, or for as long as any claims are still possible from the coverage period</w:t>
            </w:r>
          </w:p>
        </w:tc>
        <w:tc>
          <w:tcPr>
            <w:tcW w:w="2063" w:type="dxa"/>
            <w:vAlign w:val="center"/>
          </w:tcPr>
          <w:p w:rsidR="005D5956" w:rsidRPr="0036349D" w:rsidRDefault="005D5956" w:rsidP="005D5956">
            <w:pPr>
              <w:widowControl w:val="0"/>
              <w:autoSpaceDE w:val="0"/>
              <w:autoSpaceDN w:val="0"/>
              <w:adjustRightInd w:val="0"/>
              <w:rPr>
                <w:kern w:val="2"/>
              </w:rPr>
            </w:pPr>
            <w:r w:rsidRPr="0036349D">
              <w:rPr>
                <w:kern w:val="2"/>
              </w:rPr>
              <w:t>Good business practice</w:t>
            </w:r>
          </w:p>
        </w:tc>
      </w:tr>
      <w:tr w:rsidR="005D5956" w:rsidRPr="0036349D" w:rsidTr="008064AD">
        <w:trPr>
          <w:cantSplit/>
        </w:trPr>
        <w:tc>
          <w:tcPr>
            <w:tcW w:w="1166" w:type="dxa"/>
            <w:vAlign w:val="center"/>
          </w:tcPr>
          <w:p w:rsidR="005D5956" w:rsidRPr="0036349D" w:rsidRDefault="005D5956" w:rsidP="005D5956">
            <w:pPr>
              <w:widowControl w:val="0"/>
              <w:autoSpaceDE w:val="0"/>
              <w:autoSpaceDN w:val="0"/>
              <w:adjustRightInd w:val="0"/>
              <w:rPr>
                <w:kern w:val="2"/>
              </w:rPr>
            </w:pPr>
          </w:p>
        </w:tc>
        <w:tc>
          <w:tcPr>
            <w:tcW w:w="4490" w:type="dxa"/>
            <w:vAlign w:val="center"/>
          </w:tcPr>
          <w:p w:rsidR="005D5956" w:rsidRPr="0036349D" w:rsidRDefault="005D5956" w:rsidP="005D5956">
            <w:pPr>
              <w:widowControl w:val="0"/>
              <w:numPr>
                <w:ilvl w:val="0"/>
                <w:numId w:val="6"/>
              </w:numPr>
              <w:autoSpaceDE w:val="0"/>
              <w:autoSpaceDN w:val="0"/>
              <w:adjustRightInd w:val="0"/>
              <w:rPr>
                <w:kern w:val="2"/>
              </w:rPr>
            </w:pPr>
            <w:r w:rsidRPr="0036349D">
              <w:rPr>
                <w:kern w:val="2"/>
              </w:rPr>
              <w:t xml:space="preserve">Records related to litigation and claims (even if only anticipated) </w:t>
            </w:r>
          </w:p>
        </w:tc>
        <w:tc>
          <w:tcPr>
            <w:tcW w:w="1857" w:type="dxa"/>
            <w:vAlign w:val="center"/>
          </w:tcPr>
          <w:p w:rsidR="005D5956" w:rsidRPr="0036349D" w:rsidRDefault="005D5956" w:rsidP="005D5956">
            <w:pPr>
              <w:widowControl w:val="0"/>
              <w:autoSpaceDE w:val="0"/>
              <w:autoSpaceDN w:val="0"/>
              <w:adjustRightInd w:val="0"/>
              <w:rPr>
                <w:kern w:val="2"/>
              </w:rPr>
            </w:pPr>
            <w:r w:rsidRPr="0036349D">
              <w:rPr>
                <w:kern w:val="2"/>
              </w:rPr>
              <w:t>Until settlement or final action</w:t>
            </w:r>
            <w:r w:rsidR="001E0DCE" w:rsidRPr="0036349D">
              <w:rPr>
                <w:kern w:val="2"/>
              </w:rPr>
              <w:t xml:space="preserve"> (but advisable to consult with counsel before destroying any records related to a malpractice case)</w:t>
            </w:r>
          </w:p>
        </w:tc>
        <w:tc>
          <w:tcPr>
            <w:tcW w:w="2063" w:type="dxa"/>
            <w:vAlign w:val="center"/>
          </w:tcPr>
          <w:p w:rsidR="00197C91" w:rsidRPr="0036349D" w:rsidRDefault="00F35264" w:rsidP="005D5956">
            <w:pPr>
              <w:widowControl w:val="0"/>
              <w:autoSpaceDE w:val="0"/>
              <w:autoSpaceDN w:val="0"/>
              <w:adjustRightInd w:val="0"/>
              <w:rPr>
                <w:kern w:val="2"/>
              </w:rPr>
            </w:pPr>
            <w:r w:rsidRPr="0036349D">
              <w:rPr>
                <w:kern w:val="2"/>
              </w:rPr>
              <w:t xml:space="preserve">45 C.F.R. § 75.361(a); </w:t>
            </w:r>
          </w:p>
          <w:p w:rsidR="00197C91" w:rsidRPr="0036349D" w:rsidRDefault="00F35264" w:rsidP="005D5956">
            <w:pPr>
              <w:widowControl w:val="0"/>
              <w:autoSpaceDE w:val="0"/>
              <w:autoSpaceDN w:val="0"/>
              <w:adjustRightInd w:val="0"/>
              <w:rPr>
                <w:kern w:val="2"/>
              </w:rPr>
            </w:pPr>
            <w:r w:rsidRPr="0036349D">
              <w:rPr>
                <w:kern w:val="2"/>
              </w:rPr>
              <w:t>18 U.S.C. § 1519</w:t>
            </w:r>
            <w:r w:rsidR="00223D60" w:rsidRPr="0036349D">
              <w:rPr>
                <w:kern w:val="2"/>
              </w:rPr>
              <w:t xml:space="preserve">; </w:t>
            </w:r>
          </w:p>
          <w:p w:rsidR="005D5956" w:rsidRPr="0036349D" w:rsidRDefault="00223D60" w:rsidP="005D5956">
            <w:pPr>
              <w:widowControl w:val="0"/>
              <w:autoSpaceDE w:val="0"/>
              <w:autoSpaceDN w:val="0"/>
              <w:adjustRightInd w:val="0"/>
              <w:rPr>
                <w:kern w:val="2"/>
              </w:rPr>
            </w:pPr>
            <w:r w:rsidRPr="0036349D">
              <w:rPr>
                <w:kern w:val="2"/>
              </w:rPr>
              <w:t>28 U.S.C. § 2674; 28 U.S.C. § 2401</w:t>
            </w:r>
          </w:p>
        </w:tc>
      </w:tr>
    </w:tbl>
    <w:p w:rsidR="005D5956" w:rsidRPr="0036349D" w:rsidRDefault="005D5956" w:rsidP="00652060">
      <w:pPr>
        <w:jc w:val="center"/>
        <w:rPr>
          <w:b/>
          <w:kern w:val="2"/>
          <w:u w:val="single"/>
        </w:rPr>
      </w:pPr>
    </w:p>
    <w:p w:rsidR="00DA5E45" w:rsidRPr="0036349D" w:rsidRDefault="00DA5E45" w:rsidP="00652060">
      <w:pPr>
        <w:jc w:val="center"/>
        <w:rPr>
          <w:b/>
          <w:kern w:val="2"/>
          <w:u w:val="single"/>
        </w:rPr>
      </w:pPr>
    </w:p>
    <w:p w:rsidR="00DA5E45" w:rsidRPr="0036349D" w:rsidRDefault="00DA5E45" w:rsidP="00652060">
      <w:pPr>
        <w:jc w:val="center"/>
        <w:rPr>
          <w:b/>
          <w:kern w:val="2"/>
          <w:u w:val="single"/>
        </w:rPr>
      </w:pPr>
    </w:p>
    <w:p w:rsidR="00DA5E45" w:rsidRPr="0036349D" w:rsidRDefault="00DA5E45" w:rsidP="00652060">
      <w:pPr>
        <w:jc w:val="center"/>
        <w:rPr>
          <w:b/>
          <w:kern w:val="2"/>
          <w:u w:val="single"/>
        </w:rPr>
      </w:pPr>
    </w:p>
    <w:p w:rsidR="000C1A4A" w:rsidRPr="0036349D" w:rsidRDefault="000C1A4A" w:rsidP="00652060">
      <w:pPr>
        <w:jc w:val="center"/>
        <w:rPr>
          <w:b/>
          <w:kern w:val="2"/>
          <w:u w:val="single"/>
        </w:rPr>
      </w:pPr>
    </w:p>
    <w:p w:rsidR="005D5956" w:rsidRPr="0036349D" w:rsidRDefault="005D5956" w:rsidP="004C0495">
      <w:pPr>
        <w:rPr>
          <w:b/>
          <w:kern w:val="2"/>
          <w:u w:val="single"/>
        </w:rPr>
      </w:pPr>
    </w:p>
    <w:sectPr w:rsidR="005D5956" w:rsidRPr="0036349D" w:rsidSect="0036349D">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D2" w:rsidRDefault="00DB15D2" w:rsidP="00CA32F6">
      <w:r>
        <w:separator/>
      </w:r>
    </w:p>
  </w:endnote>
  <w:endnote w:type="continuationSeparator" w:id="0">
    <w:p w:rsidR="00DB15D2" w:rsidRDefault="00DB15D2"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6A" w:rsidRDefault="00B84D6A" w:rsidP="00B84D6A">
    <w:pPr>
      <w:pBdr>
        <w:bottom w:val="single" w:sz="12" w:space="0" w:color="auto"/>
      </w:pBdr>
      <w:rPr>
        <w:sz w:val="20"/>
        <w:szCs w:val="20"/>
      </w:rPr>
    </w:pPr>
  </w:p>
  <w:p w:rsidR="00B84D6A" w:rsidRDefault="00B84D6A" w:rsidP="00B84D6A">
    <w:pPr>
      <w:tabs>
        <w:tab w:val="left" w:pos="2340"/>
      </w:tabs>
      <w:jc w:val="center"/>
      <w:rPr>
        <w:sz w:val="20"/>
        <w:szCs w:val="20"/>
      </w:rPr>
    </w:pPr>
  </w:p>
  <w:p w:rsidR="00B84D6A" w:rsidRPr="00503CAA" w:rsidRDefault="00B84D6A" w:rsidP="00B84D6A">
    <w:pPr>
      <w:tabs>
        <w:tab w:val="left" w:pos="2340"/>
      </w:tabs>
      <w:jc w:val="center"/>
      <w:rPr>
        <w:sz w:val="20"/>
        <w:szCs w:val="20"/>
      </w:rPr>
    </w:pPr>
    <w:r w:rsidRPr="00503CAA">
      <w:rPr>
        <w:sz w:val="20"/>
        <w:szCs w:val="20"/>
        <w:lang w:val="de-DE"/>
      </w:rPr>
      <w:t xml:space="preserve">© </w:t>
    </w:r>
    <w:r w:rsidRPr="00503CAA">
      <w:rPr>
        <w:sz w:val="20"/>
        <w:szCs w:val="20"/>
        <w:lang w:val="de-DE"/>
      </w:rPr>
      <w:t>201</w:t>
    </w:r>
    <w:r w:rsidR="002E6F65">
      <w:rPr>
        <w:sz w:val="20"/>
        <w:szCs w:val="20"/>
        <w:lang w:val="de-DE"/>
      </w:rPr>
      <w:t>7</w:t>
    </w:r>
    <w:r w:rsidRPr="00503CAA">
      <w:rPr>
        <w:sz w:val="20"/>
        <w:szCs w:val="20"/>
        <w:lang w:val="de-DE"/>
      </w:rPr>
      <w:t xml:space="preserve"> </w:t>
    </w:r>
    <w:r w:rsidRPr="00503CAA">
      <w:rPr>
        <w:sz w:val="20"/>
        <w:szCs w:val="20"/>
      </w:rPr>
      <w:t>National Association of Community Health Centers, Inc.</w:t>
    </w:r>
  </w:p>
  <w:p w:rsidR="00B84D6A" w:rsidRPr="00503CAA" w:rsidRDefault="00B84D6A" w:rsidP="00B84D6A">
    <w:pPr>
      <w:tabs>
        <w:tab w:val="left" w:pos="2340"/>
      </w:tabs>
      <w:jc w:val="center"/>
      <w:rPr>
        <w:sz w:val="20"/>
        <w:szCs w:val="20"/>
        <w:lang w:val="de-DE"/>
      </w:rPr>
    </w:pPr>
    <w:r w:rsidRPr="00503CAA">
      <w:rPr>
        <w:sz w:val="20"/>
        <w:szCs w:val="20"/>
        <w:lang w:val="de-DE"/>
      </w:rPr>
      <w:t>and Feldesman Tucker Leifer Fidell LLP</w:t>
    </w:r>
  </w:p>
  <w:p w:rsidR="00B84D6A" w:rsidRPr="00503CAA" w:rsidRDefault="00B84D6A" w:rsidP="00B84D6A">
    <w:pPr>
      <w:tabs>
        <w:tab w:val="left" w:pos="2340"/>
      </w:tabs>
      <w:jc w:val="center"/>
      <w:rPr>
        <w:sz w:val="20"/>
        <w:szCs w:val="20"/>
        <w:lang w:val="de-DE"/>
      </w:rPr>
    </w:pPr>
  </w:p>
  <w:p w:rsidR="00B84D6A" w:rsidRPr="004C0495" w:rsidRDefault="00B84D6A" w:rsidP="004C0495">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DA06A4">
      <w:rPr>
        <w:rStyle w:val="PageNumber"/>
        <w:noProof/>
        <w:sz w:val="20"/>
        <w:szCs w:val="20"/>
      </w:rPr>
      <w:t>1</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D2" w:rsidRDefault="00DB15D2" w:rsidP="00CA32F6">
      <w:r>
        <w:separator/>
      </w:r>
    </w:p>
  </w:footnote>
  <w:footnote w:type="continuationSeparator" w:id="0">
    <w:p w:rsidR="00DB15D2" w:rsidRDefault="00DB15D2" w:rsidP="00CA32F6">
      <w:r>
        <w:continuationSeparator/>
      </w:r>
    </w:p>
  </w:footnote>
  <w:footnote w:id="1">
    <w:p w:rsidR="00A347A8" w:rsidRPr="004C0495" w:rsidRDefault="00A347A8" w:rsidP="0036349D">
      <w:pPr>
        <w:pStyle w:val="FootnoteText"/>
        <w:ind w:left="360" w:hanging="360"/>
        <w:rPr>
          <w:sz w:val="20"/>
        </w:rPr>
      </w:pPr>
      <w:r w:rsidRPr="004C0495">
        <w:rPr>
          <w:rStyle w:val="FootnoteReference"/>
          <w:sz w:val="20"/>
        </w:rPr>
        <w:footnoteRef/>
      </w:r>
      <w:r w:rsidRPr="004C0495">
        <w:rPr>
          <w:sz w:val="20"/>
        </w:rPr>
        <w:t xml:space="preserve"> </w:t>
      </w:r>
      <w:r w:rsidR="0036349D">
        <w:rPr>
          <w:sz w:val="20"/>
        </w:rPr>
        <w:tab/>
      </w:r>
      <w:r w:rsidRPr="004C0495">
        <w:rPr>
          <w:sz w:val="20"/>
        </w:rPr>
        <w:t>The Authors of these materials include attorneys at the law firm of Feldesman Tucker Leifer Fidell LLP. The sample documents offer general guidance based on federal law and regulations and do not necessarily apply to all health centers under all facts and circumstances. Further, these materials do not replace, and are not a substitute for, legal advice from qualified legal counsel.</w:t>
      </w:r>
    </w:p>
  </w:footnote>
  <w:footnote w:id="2">
    <w:p w:rsidR="00A347A8" w:rsidRDefault="00A347A8" w:rsidP="0036349D">
      <w:pPr>
        <w:pStyle w:val="FootnoteText"/>
        <w:ind w:left="360" w:hanging="360"/>
      </w:pPr>
      <w:r w:rsidRPr="004C0495">
        <w:rPr>
          <w:rStyle w:val="FootnoteReference"/>
          <w:sz w:val="20"/>
        </w:rPr>
        <w:footnoteRef/>
      </w:r>
      <w:r w:rsidRPr="004C0495">
        <w:rPr>
          <w:sz w:val="20"/>
        </w:rPr>
        <w:t xml:space="preserve"> </w:t>
      </w:r>
      <w:r w:rsidR="0036349D">
        <w:rPr>
          <w:sz w:val="20"/>
        </w:rPr>
        <w:tab/>
      </w:r>
      <w:r w:rsidR="00DF7011" w:rsidRPr="004C0495">
        <w:rPr>
          <w:sz w:val="20"/>
        </w:rPr>
        <w:t>Authors’ note: Using the following sample as a guide, health centers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65" w:rsidRDefault="002E6F65" w:rsidP="00B84D6A">
    <w:pPr>
      <w:pBdr>
        <w:bottom w:val="single" w:sz="12" w:space="2" w:color="auto"/>
      </w:pBdr>
      <w:jc w:val="center"/>
      <w:rPr>
        <w:sz w:val="20"/>
        <w:szCs w:val="20"/>
      </w:rPr>
    </w:pPr>
    <w:r>
      <w:rPr>
        <w:sz w:val="20"/>
        <w:szCs w:val="20"/>
      </w:rPr>
      <w:t>Element Two:</w:t>
    </w:r>
  </w:p>
  <w:p w:rsidR="00B84D6A" w:rsidRPr="00181EF9" w:rsidRDefault="002E6F65" w:rsidP="00B84D6A">
    <w:pPr>
      <w:pBdr>
        <w:bottom w:val="single" w:sz="12" w:space="2" w:color="auto"/>
      </w:pBdr>
      <w:jc w:val="center"/>
      <w:rPr>
        <w:sz w:val="20"/>
        <w:szCs w:val="20"/>
      </w:rPr>
    </w:pPr>
    <w:r>
      <w:rPr>
        <w:sz w:val="20"/>
        <w:szCs w:val="20"/>
      </w:rPr>
      <w:t>Written Compliance</w:t>
    </w:r>
    <w:r w:rsidR="00B84D6A">
      <w:rPr>
        <w:sz w:val="20"/>
        <w:szCs w:val="20"/>
      </w:rPr>
      <w:t xml:space="preserve"> Standards</w:t>
    </w:r>
  </w:p>
  <w:p w:rsidR="00B84D6A" w:rsidRPr="00181EF9" w:rsidRDefault="00B84D6A" w:rsidP="00B84D6A">
    <w:pPr>
      <w:pBdr>
        <w:bottom w:val="single" w:sz="12" w:space="2" w:color="auto"/>
      </w:pBdr>
      <w:rPr>
        <w:sz w:val="20"/>
        <w:szCs w:val="20"/>
      </w:rPr>
    </w:pPr>
  </w:p>
  <w:p w:rsidR="00B84D6A" w:rsidRDefault="00B84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65"/>
    <w:multiLevelType w:val="hybridMultilevel"/>
    <w:tmpl w:val="6450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36D77"/>
    <w:multiLevelType w:val="hybridMultilevel"/>
    <w:tmpl w:val="6D3E4710"/>
    <w:lvl w:ilvl="0" w:tplc="B138250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8607FE"/>
    <w:multiLevelType w:val="hybridMultilevel"/>
    <w:tmpl w:val="A844D28C"/>
    <w:lvl w:ilvl="0" w:tplc="EEF030F4">
      <w:start w:val="1"/>
      <w:numFmt w:val="bullet"/>
      <w:lvlText w:val=""/>
      <w:lvlJc w:val="left"/>
      <w:pPr>
        <w:tabs>
          <w:tab w:val="num" w:pos="720"/>
        </w:tabs>
        <w:ind w:left="720" w:hanging="360"/>
      </w:pPr>
      <w:rPr>
        <w:rFonts w:ascii="Symbol" w:hAnsi="Symbol" w:hint="default"/>
        <w:color w:val="auto"/>
        <w:sz w:val="20"/>
        <w:szCs w:val="20"/>
      </w:rPr>
    </w:lvl>
    <w:lvl w:ilvl="1" w:tplc="04090005">
      <w:start w:val="1"/>
      <w:numFmt w:val="bullet"/>
      <w:lvlText w:val=""/>
      <w:lvlJc w:val="left"/>
      <w:pPr>
        <w:tabs>
          <w:tab w:val="num" w:pos="720"/>
        </w:tabs>
        <w:ind w:left="720" w:hanging="360"/>
      </w:pPr>
      <w:rPr>
        <w:rFonts w:ascii="Wingdings" w:hAnsi="Wingdings" w:hint="default"/>
        <w:color w:val="auto"/>
        <w:sz w:val="24"/>
        <w:szCs w:val="24"/>
      </w:rPr>
    </w:lvl>
    <w:lvl w:ilvl="2" w:tplc="62920FC0">
      <w:start w:val="3"/>
      <w:numFmt w:val="bullet"/>
      <w:lvlText w:val="o"/>
      <w:lvlJc w:val="left"/>
      <w:pPr>
        <w:tabs>
          <w:tab w:val="num" w:pos="720"/>
        </w:tabs>
        <w:ind w:left="720" w:hanging="360"/>
      </w:pPr>
      <w:rPr>
        <w:rFonts w:ascii="Courier New" w:hAnsi="Courier New" w:cs="Times New Roman" w:hint="default"/>
        <w:color w:val="auto"/>
        <w:sz w:val="24"/>
        <w:szCs w:val="24"/>
      </w:rPr>
    </w:lvl>
    <w:lvl w:ilvl="3" w:tplc="62920FC0">
      <w:start w:val="3"/>
      <w:numFmt w:val="bullet"/>
      <w:lvlText w:val="o"/>
      <w:lvlJc w:val="left"/>
      <w:pPr>
        <w:tabs>
          <w:tab w:val="num" w:pos="720"/>
        </w:tabs>
        <w:ind w:left="720" w:hanging="360"/>
      </w:pPr>
      <w:rPr>
        <w:rFonts w:ascii="Courier New" w:hAnsi="Courier New" w:cs="Times New Roman" w:hint="default"/>
        <w:color w:val="auto"/>
        <w:sz w:val="24"/>
        <w:szCs w:val="24"/>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34491E43"/>
    <w:multiLevelType w:val="hybridMultilevel"/>
    <w:tmpl w:val="CFDA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8B4BC2"/>
    <w:multiLevelType w:val="hybridMultilevel"/>
    <w:tmpl w:val="3AE6F64A"/>
    <w:lvl w:ilvl="0" w:tplc="3108896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A18B3"/>
    <w:multiLevelType w:val="hybridMultilevel"/>
    <w:tmpl w:val="5F6A0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A235F0"/>
    <w:multiLevelType w:val="hybridMultilevel"/>
    <w:tmpl w:val="DC02D004"/>
    <w:lvl w:ilvl="0" w:tplc="E29649D2">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B7B1ECE"/>
    <w:multiLevelType w:val="hybridMultilevel"/>
    <w:tmpl w:val="38B043E4"/>
    <w:lvl w:ilvl="0" w:tplc="040A71B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E71BE"/>
    <w:multiLevelType w:val="hybridMultilevel"/>
    <w:tmpl w:val="B5BC8D96"/>
    <w:lvl w:ilvl="0" w:tplc="420AF460">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8EA0E00"/>
    <w:multiLevelType w:val="hybridMultilevel"/>
    <w:tmpl w:val="A7A2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3"/>
  </w:num>
  <w:num w:numId="6">
    <w:abstractNumId w:val="6"/>
  </w:num>
  <w:num w:numId="7">
    <w:abstractNumId w:val="9"/>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60"/>
    <w:rsid w:val="0000738F"/>
    <w:rsid w:val="00015964"/>
    <w:rsid w:val="00035A0D"/>
    <w:rsid w:val="00047734"/>
    <w:rsid w:val="0006397A"/>
    <w:rsid w:val="00067369"/>
    <w:rsid w:val="00074112"/>
    <w:rsid w:val="00077AB5"/>
    <w:rsid w:val="00094D4F"/>
    <w:rsid w:val="0009632F"/>
    <w:rsid w:val="000A6A70"/>
    <w:rsid w:val="000C1A4A"/>
    <w:rsid w:val="000C2E47"/>
    <w:rsid w:val="000C55CA"/>
    <w:rsid w:val="000D1006"/>
    <w:rsid w:val="000D670C"/>
    <w:rsid w:val="0012660F"/>
    <w:rsid w:val="001309AE"/>
    <w:rsid w:val="001365C0"/>
    <w:rsid w:val="001727F6"/>
    <w:rsid w:val="0019624B"/>
    <w:rsid w:val="00197C91"/>
    <w:rsid w:val="001A2C9A"/>
    <w:rsid w:val="001C4478"/>
    <w:rsid w:val="001D4E5B"/>
    <w:rsid w:val="001E0DCE"/>
    <w:rsid w:val="00207124"/>
    <w:rsid w:val="00223D60"/>
    <w:rsid w:val="00231EC9"/>
    <w:rsid w:val="00253346"/>
    <w:rsid w:val="0026558D"/>
    <w:rsid w:val="00297A90"/>
    <w:rsid w:val="002D4BE2"/>
    <w:rsid w:val="002E6F65"/>
    <w:rsid w:val="002E7DE9"/>
    <w:rsid w:val="00341EA7"/>
    <w:rsid w:val="00343209"/>
    <w:rsid w:val="0036349D"/>
    <w:rsid w:val="00395472"/>
    <w:rsid w:val="003A209C"/>
    <w:rsid w:val="003C6A16"/>
    <w:rsid w:val="003D0B08"/>
    <w:rsid w:val="003D3EFA"/>
    <w:rsid w:val="003F57FE"/>
    <w:rsid w:val="00430A47"/>
    <w:rsid w:val="00441F5F"/>
    <w:rsid w:val="004561AD"/>
    <w:rsid w:val="0049287E"/>
    <w:rsid w:val="004B16A5"/>
    <w:rsid w:val="004C0495"/>
    <w:rsid w:val="004C1756"/>
    <w:rsid w:val="004D5C83"/>
    <w:rsid w:val="004F2CF1"/>
    <w:rsid w:val="00516430"/>
    <w:rsid w:val="00524185"/>
    <w:rsid w:val="005268FD"/>
    <w:rsid w:val="00541121"/>
    <w:rsid w:val="0054459A"/>
    <w:rsid w:val="00544735"/>
    <w:rsid w:val="00550261"/>
    <w:rsid w:val="0055526A"/>
    <w:rsid w:val="00571E08"/>
    <w:rsid w:val="0057451D"/>
    <w:rsid w:val="005804B9"/>
    <w:rsid w:val="00593DC8"/>
    <w:rsid w:val="005B2174"/>
    <w:rsid w:val="005D5956"/>
    <w:rsid w:val="005F6B94"/>
    <w:rsid w:val="00645FC9"/>
    <w:rsid w:val="00652060"/>
    <w:rsid w:val="0066571E"/>
    <w:rsid w:val="006E2E29"/>
    <w:rsid w:val="00701F19"/>
    <w:rsid w:val="00705F5E"/>
    <w:rsid w:val="00732810"/>
    <w:rsid w:val="00732E98"/>
    <w:rsid w:val="007373A7"/>
    <w:rsid w:val="00755E4D"/>
    <w:rsid w:val="007625CD"/>
    <w:rsid w:val="007D537D"/>
    <w:rsid w:val="008064AD"/>
    <w:rsid w:val="00820A5C"/>
    <w:rsid w:val="008239A7"/>
    <w:rsid w:val="008649E4"/>
    <w:rsid w:val="0087604B"/>
    <w:rsid w:val="008825A8"/>
    <w:rsid w:val="00890926"/>
    <w:rsid w:val="00893E5A"/>
    <w:rsid w:val="008A6006"/>
    <w:rsid w:val="008B06E6"/>
    <w:rsid w:val="008B7263"/>
    <w:rsid w:val="008E5EAE"/>
    <w:rsid w:val="008F7242"/>
    <w:rsid w:val="0091641C"/>
    <w:rsid w:val="00920F00"/>
    <w:rsid w:val="00935950"/>
    <w:rsid w:val="00947EDD"/>
    <w:rsid w:val="009C6AD8"/>
    <w:rsid w:val="00A347A8"/>
    <w:rsid w:val="00A5253A"/>
    <w:rsid w:val="00A5267D"/>
    <w:rsid w:val="00A6357E"/>
    <w:rsid w:val="00A70004"/>
    <w:rsid w:val="00AC1513"/>
    <w:rsid w:val="00AC404E"/>
    <w:rsid w:val="00AC52C6"/>
    <w:rsid w:val="00AD7397"/>
    <w:rsid w:val="00B024DE"/>
    <w:rsid w:val="00B618B0"/>
    <w:rsid w:val="00B63549"/>
    <w:rsid w:val="00B70B8B"/>
    <w:rsid w:val="00B81F01"/>
    <w:rsid w:val="00B84D6A"/>
    <w:rsid w:val="00B8581A"/>
    <w:rsid w:val="00B909AD"/>
    <w:rsid w:val="00BA7DA0"/>
    <w:rsid w:val="00BB708F"/>
    <w:rsid w:val="00BE2CE5"/>
    <w:rsid w:val="00BF7517"/>
    <w:rsid w:val="00C1275F"/>
    <w:rsid w:val="00C13E4E"/>
    <w:rsid w:val="00C91D2E"/>
    <w:rsid w:val="00CA32F6"/>
    <w:rsid w:val="00D11760"/>
    <w:rsid w:val="00D401BE"/>
    <w:rsid w:val="00D97296"/>
    <w:rsid w:val="00DA06A4"/>
    <w:rsid w:val="00DA5E45"/>
    <w:rsid w:val="00DB1162"/>
    <w:rsid w:val="00DB15D2"/>
    <w:rsid w:val="00DC3DE4"/>
    <w:rsid w:val="00DF7011"/>
    <w:rsid w:val="00E25F83"/>
    <w:rsid w:val="00E30DD7"/>
    <w:rsid w:val="00E4717C"/>
    <w:rsid w:val="00E61DFB"/>
    <w:rsid w:val="00E62C69"/>
    <w:rsid w:val="00E8119A"/>
    <w:rsid w:val="00E85DFA"/>
    <w:rsid w:val="00EA5AFB"/>
    <w:rsid w:val="00EA772E"/>
    <w:rsid w:val="00EC26FD"/>
    <w:rsid w:val="00F35264"/>
    <w:rsid w:val="00F615B4"/>
    <w:rsid w:val="00F87C85"/>
    <w:rsid w:val="00FA3A13"/>
    <w:rsid w:val="00FD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2060"/>
    <w:pPr>
      <w:keepNext/>
      <w:outlineLvl w:val="0"/>
    </w:pPr>
    <w:rPr>
      <w:b/>
      <w:spacing w:val="-3"/>
    </w:rPr>
  </w:style>
  <w:style w:type="paragraph" w:styleId="Heading3">
    <w:name w:val="heading 3"/>
    <w:basedOn w:val="Normal"/>
    <w:next w:val="Normal"/>
    <w:link w:val="Heading3Char"/>
    <w:uiPriority w:val="9"/>
    <w:unhideWhenUsed/>
    <w:qFormat/>
    <w:rsid w:val="003F57FE"/>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semiHidden/>
    <w:unhideWhenUsed/>
    <w:qFormat/>
    <w:rsid w:val="00652060"/>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basedOn w:val="DefaultParagraphFont"/>
    <w:link w:val="FootnoteText"/>
    <w:semiHidden/>
    <w:rsid w:val="00CA32F6"/>
    <w:rPr>
      <w:rFonts w:ascii="Times New Roman" w:hAnsi="Times New Roman"/>
      <w:sz w:val="24"/>
      <w:szCs w:val="20"/>
    </w:rPr>
  </w:style>
  <w:style w:type="character" w:styleId="FootnoteReference">
    <w:name w:val="footnote reference"/>
    <w:basedOn w:val="DefaultParagraphFont"/>
    <w:semiHidden/>
    <w:unhideWhenUsed/>
    <w:rsid w:val="00CA32F6"/>
    <w:rPr>
      <w:rFonts w:ascii="Times New Roman" w:hAnsi="Times New Roman"/>
      <w:b w:val="0"/>
      <w:i w:val="0"/>
      <w:sz w:val="24"/>
      <w:vertAlign w:val="superscript"/>
    </w:rPr>
  </w:style>
  <w:style w:type="character" w:customStyle="1" w:styleId="Heading1Char">
    <w:name w:val="Heading 1 Char"/>
    <w:basedOn w:val="DefaultParagraphFont"/>
    <w:link w:val="Heading1"/>
    <w:rsid w:val="00652060"/>
    <w:rPr>
      <w:rFonts w:ascii="Times New Roman" w:eastAsia="Times New Roman" w:hAnsi="Times New Roman" w:cs="Times New Roman"/>
      <w:b/>
      <w:spacing w:val="-3"/>
      <w:sz w:val="24"/>
      <w:szCs w:val="24"/>
    </w:rPr>
  </w:style>
  <w:style w:type="character" w:customStyle="1" w:styleId="Heading4Char">
    <w:name w:val="Heading 4 Char"/>
    <w:basedOn w:val="DefaultParagraphFont"/>
    <w:link w:val="Heading4"/>
    <w:semiHidden/>
    <w:rsid w:val="00652060"/>
    <w:rPr>
      <w:rFonts w:ascii="Times New Roman" w:eastAsia="Times New Roman" w:hAnsi="Times New Roman" w:cs="Times New Roman"/>
      <w:b/>
      <w:spacing w:val="-3"/>
      <w:sz w:val="24"/>
      <w:szCs w:val="24"/>
    </w:rPr>
  </w:style>
  <w:style w:type="paragraph" w:styleId="Title">
    <w:name w:val="Title"/>
    <w:basedOn w:val="Normal"/>
    <w:link w:val="TitleChar"/>
    <w:qFormat/>
    <w:rsid w:val="00652060"/>
    <w:pPr>
      <w:jc w:val="center"/>
    </w:pPr>
    <w:rPr>
      <w:rFonts w:ascii="Arial" w:hAnsi="Arial"/>
      <w:b/>
      <w:bCs/>
      <w:sz w:val="22"/>
      <w:szCs w:val="20"/>
    </w:rPr>
  </w:style>
  <w:style w:type="character" w:customStyle="1" w:styleId="TitleChar">
    <w:name w:val="Title Char"/>
    <w:basedOn w:val="DefaultParagraphFont"/>
    <w:link w:val="Title"/>
    <w:rsid w:val="00652060"/>
    <w:rPr>
      <w:rFonts w:ascii="Arial" w:eastAsia="Times New Roman" w:hAnsi="Arial" w:cs="Times New Roman"/>
      <w:b/>
      <w:bCs/>
      <w:szCs w:val="20"/>
    </w:rPr>
  </w:style>
  <w:style w:type="paragraph" w:styleId="BodyText">
    <w:name w:val="Body Text"/>
    <w:basedOn w:val="Normal"/>
    <w:link w:val="BodyTextChar"/>
    <w:semiHidden/>
    <w:unhideWhenUsed/>
    <w:rsid w:val="0065206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style>
  <w:style w:type="character" w:customStyle="1" w:styleId="BodyTextChar">
    <w:name w:val="Body Text Char"/>
    <w:basedOn w:val="DefaultParagraphFont"/>
    <w:link w:val="BodyText"/>
    <w:semiHidden/>
    <w:rsid w:val="00652060"/>
    <w:rPr>
      <w:rFonts w:ascii="Times New Roman" w:eastAsia="Times New Roman" w:hAnsi="Times New Roman" w:cs="Times New Roman"/>
      <w:sz w:val="24"/>
      <w:szCs w:val="24"/>
    </w:rPr>
  </w:style>
  <w:style w:type="table" w:styleId="TableGrid">
    <w:name w:val="Table Grid"/>
    <w:basedOn w:val="TableNormal"/>
    <w:rsid w:val="00652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4DE"/>
    <w:pPr>
      <w:ind w:left="720"/>
      <w:contextualSpacing/>
    </w:pPr>
    <w:rPr>
      <w:rFonts w:eastAsiaTheme="minorHAnsi" w:cstheme="minorBidi"/>
      <w:szCs w:val="22"/>
    </w:rPr>
  </w:style>
  <w:style w:type="paragraph" w:styleId="BodyTextIndent">
    <w:name w:val="Body Text Indent"/>
    <w:basedOn w:val="Normal"/>
    <w:link w:val="BodyTextIndentChar"/>
    <w:uiPriority w:val="99"/>
    <w:unhideWhenUsed/>
    <w:rsid w:val="000C55CA"/>
    <w:pPr>
      <w:spacing w:after="120"/>
      <w:ind w:left="360"/>
    </w:pPr>
  </w:style>
  <w:style w:type="character" w:customStyle="1" w:styleId="BodyTextIndentChar">
    <w:name w:val="Body Text Indent Char"/>
    <w:basedOn w:val="DefaultParagraphFont"/>
    <w:link w:val="BodyTextIndent"/>
    <w:uiPriority w:val="99"/>
    <w:rsid w:val="000C55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5CA"/>
    <w:rPr>
      <w:rFonts w:ascii="Tahoma" w:hAnsi="Tahoma" w:cs="Tahoma"/>
      <w:sz w:val="16"/>
      <w:szCs w:val="16"/>
    </w:rPr>
  </w:style>
  <w:style w:type="character" w:customStyle="1" w:styleId="BalloonTextChar">
    <w:name w:val="Balloon Text Char"/>
    <w:basedOn w:val="DefaultParagraphFont"/>
    <w:link w:val="BalloonText"/>
    <w:uiPriority w:val="99"/>
    <w:semiHidden/>
    <w:rsid w:val="000C55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451D"/>
    <w:rPr>
      <w:sz w:val="16"/>
      <w:szCs w:val="16"/>
    </w:rPr>
  </w:style>
  <w:style w:type="paragraph" w:styleId="CommentText">
    <w:name w:val="annotation text"/>
    <w:basedOn w:val="Normal"/>
    <w:link w:val="CommentTextChar"/>
    <w:uiPriority w:val="99"/>
    <w:semiHidden/>
    <w:unhideWhenUsed/>
    <w:rsid w:val="0057451D"/>
    <w:rPr>
      <w:sz w:val="20"/>
      <w:szCs w:val="20"/>
    </w:rPr>
  </w:style>
  <w:style w:type="character" w:customStyle="1" w:styleId="CommentTextChar">
    <w:name w:val="Comment Text Char"/>
    <w:basedOn w:val="DefaultParagraphFont"/>
    <w:link w:val="CommentText"/>
    <w:uiPriority w:val="99"/>
    <w:semiHidden/>
    <w:rsid w:val="00574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51D"/>
    <w:rPr>
      <w:b/>
      <w:bCs/>
    </w:rPr>
  </w:style>
  <w:style w:type="character" w:customStyle="1" w:styleId="CommentSubjectChar">
    <w:name w:val="Comment Subject Char"/>
    <w:basedOn w:val="CommentTextChar"/>
    <w:link w:val="CommentSubject"/>
    <w:uiPriority w:val="99"/>
    <w:semiHidden/>
    <w:rsid w:val="0057451D"/>
    <w:rPr>
      <w:rFonts w:ascii="Times New Roman" w:eastAsia="Times New Roman" w:hAnsi="Times New Roman" w:cs="Times New Roman"/>
      <w:b/>
      <w:bCs/>
      <w:sz w:val="20"/>
      <w:szCs w:val="20"/>
    </w:rPr>
  </w:style>
  <w:style w:type="paragraph" w:styleId="Revision">
    <w:name w:val="Revision"/>
    <w:hidden/>
    <w:uiPriority w:val="99"/>
    <w:semiHidden/>
    <w:rsid w:val="00FD28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D6A"/>
    <w:pPr>
      <w:tabs>
        <w:tab w:val="center" w:pos="4680"/>
        <w:tab w:val="right" w:pos="9360"/>
      </w:tabs>
    </w:pPr>
  </w:style>
  <w:style w:type="character" w:customStyle="1" w:styleId="HeaderChar">
    <w:name w:val="Header Char"/>
    <w:basedOn w:val="DefaultParagraphFont"/>
    <w:link w:val="Header"/>
    <w:uiPriority w:val="99"/>
    <w:rsid w:val="00B84D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D6A"/>
    <w:pPr>
      <w:tabs>
        <w:tab w:val="center" w:pos="4680"/>
        <w:tab w:val="right" w:pos="9360"/>
      </w:tabs>
    </w:pPr>
  </w:style>
  <w:style w:type="character" w:customStyle="1" w:styleId="FooterChar">
    <w:name w:val="Footer Char"/>
    <w:basedOn w:val="DefaultParagraphFont"/>
    <w:link w:val="Footer"/>
    <w:uiPriority w:val="99"/>
    <w:rsid w:val="00B84D6A"/>
    <w:rPr>
      <w:rFonts w:ascii="Times New Roman" w:eastAsia="Times New Roman" w:hAnsi="Times New Roman" w:cs="Times New Roman"/>
      <w:sz w:val="24"/>
      <w:szCs w:val="24"/>
    </w:rPr>
  </w:style>
  <w:style w:type="character" w:styleId="PageNumber">
    <w:name w:val="page number"/>
    <w:semiHidden/>
    <w:unhideWhenUsed/>
    <w:rsid w:val="00B84D6A"/>
  </w:style>
  <w:style w:type="character" w:customStyle="1" w:styleId="Heading3Char">
    <w:name w:val="Heading 3 Char"/>
    <w:basedOn w:val="DefaultParagraphFont"/>
    <w:link w:val="Heading3"/>
    <w:uiPriority w:val="9"/>
    <w:rsid w:val="003F57FE"/>
    <w:rPr>
      <w:rFonts w:asciiTheme="majorHAnsi" w:eastAsiaTheme="majorEastAsia" w:hAnsiTheme="majorHAnsi" w:cstheme="majorBidi"/>
      <w:b/>
      <w:bCs/>
      <w:color w:val="4F81BD" w:themeColor="accent1"/>
      <w:sz w:val="24"/>
    </w:rPr>
  </w:style>
  <w:style w:type="paragraph" w:customStyle="1" w:styleId="3">
    <w:name w:val="3)"/>
    <w:basedOn w:val="Normal"/>
    <w:rsid w:val="003F57FE"/>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2060"/>
    <w:pPr>
      <w:keepNext/>
      <w:outlineLvl w:val="0"/>
    </w:pPr>
    <w:rPr>
      <w:b/>
      <w:spacing w:val="-3"/>
    </w:rPr>
  </w:style>
  <w:style w:type="paragraph" w:styleId="Heading3">
    <w:name w:val="heading 3"/>
    <w:basedOn w:val="Normal"/>
    <w:next w:val="Normal"/>
    <w:link w:val="Heading3Char"/>
    <w:uiPriority w:val="9"/>
    <w:unhideWhenUsed/>
    <w:qFormat/>
    <w:rsid w:val="003F57FE"/>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semiHidden/>
    <w:unhideWhenUsed/>
    <w:qFormat/>
    <w:rsid w:val="00652060"/>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basedOn w:val="DefaultParagraphFont"/>
    <w:link w:val="FootnoteText"/>
    <w:semiHidden/>
    <w:rsid w:val="00CA32F6"/>
    <w:rPr>
      <w:rFonts w:ascii="Times New Roman" w:hAnsi="Times New Roman"/>
      <w:sz w:val="24"/>
      <w:szCs w:val="20"/>
    </w:rPr>
  </w:style>
  <w:style w:type="character" w:styleId="FootnoteReference">
    <w:name w:val="footnote reference"/>
    <w:basedOn w:val="DefaultParagraphFont"/>
    <w:semiHidden/>
    <w:unhideWhenUsed/>
    <w:rsid w:val="00CA32F6"/>
    <w:rPr>
      <w:rFonts w:ascii="Times New Roman" w:hAnsi="Times New Roman"/>
      <w:b w:val="0"/>
      <w:i w:val="0"/>
      <w:sz w:val="24"/>
      <w:vertAlign w:val="superscript"/>
    </w:rPr>
  </w:style>
  <w:style w:type="character" w:customStyle="1" w:styleId="Heading1Char">
    <w:name w:val="Heading 1 Char"/>
    <w:basedOn w:val="DefaultParagraphFont"/>
    <w:link w:val="Heading1"/>
    <w:rsid w:val="00652060"/>
    <w:rPr>
      <w:rFonts w:ascii="Times New Roman" w:eastAsia="Times New Roman" w:hAnsi="Times New Roman" w:cs="Times New Roman"/>
      <w:b/>
      <w:spacing w:val="-3"/>
      <w:sz w:val="24"/>
      <w:szCs w:val="24"/>
    </w:rPr>
  </w:style>
  <w:style w:type="character" w:customStyle="1" w:styleId="Heading4Char">
    <w:name w:val="Heading 4 Char"/>
    <w:basedOn w:val="DefaultParagraphFont"/>
    <w:link w:val="Heading4"/>
    <w:semiHidden/>
    <w:rsid w:val="00652060"/>
    <w:rPr>
      <w:rFonts w:ascii="Times New Roman" w:eastAsia="Times New Roman" w:hAnsi="Times New Roman" w:cs="Times New Roman"/>
      <w:b/>
      <w:spacing w:val="-3"/>
      <w:sz w:val="24"/>
      <w:szCs w:val="24"/>
    </w:rPr>
  </w:style>
  <w:style w:type="paragraph" w:styleId="Title">
    <w:name w:val="Title"/>
    <w:basedOn w:val="Normal"/>
    <w:link w:val="TitleChar"/>
    <w:qFormat/>
    <w:rsid w:val="00652060"/>
    <w:pPr>
      <w:jc w:val="center"/>
    </w:pPr>
    <w:rPr>
      <w:rFonts w:ascii="Arial" w:hAnsi="Arial"/>
      <w:b/>
      <w:bCs/>
      <w:sz w:val="22"/>
      <w:szCs w:val="20"/>
    </w:rPr>
  </w:style>
  <w:style w:type="character" w:customStyle="1" w:styleId="TitleChar">
    <w:name w:val="Title Char"/>
    <w:basedOn w:val="DefaultParagraphFont"/>
    <w:link w:val="Title"/>
    <w:rsid w:val="00652060"/>
    <w:rPr>
      <w:rFonts w:ascii="Arial" w:eastAsia="Times New Roman" w:hAnsi="Arial" w:cs="Times New Roman"/>
      <w:b/>
      <w:bCs/>
      <w:szCs w:val="20"/>
    </w:rPr>
  </w:style>
  <w:style w:type="paragraph" w:styleId="BodyText">
    <w:name w:val="Body Text"/>
    <w:basedOn w:val="Normal"/>
    <w:link w:val="BodyTextChar"/>
    <w:semiHidden/>
    <w:unhideWhenUsed/>
    <w:rsid w:val="0065206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style>
  <w:style w:type="character" w:customStyle="1" w:styleId="BodyTextChar">
    <w:name w:val="Body Text Char"/>
    <w:basedOn w:val="DefaultParagraphFont"/>
    <w:link w:val="BodyText"/>
    <w:semiHidden/>
    <w:rsid w:val="00652060"/>
    <w:rPr>
      <w:rFonts w:ascii="Times New Roman" w:eastAsia="Times New Roman" w:hAnsi="Times New Roman" w:cs="Times New Roman"/>
      <w:sz w:val="24"/>
      <w:szCs w:val="24"/>
    </w:rPr>
  </w:style>
  <w:style w:type="table" w:styleId="TableGrid">
    <w:name w:val="Table Grid"/>
    <w:basedOn w:val="TableNormal"/>
    <w:rsid w:val="00652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4DE"/>
    <w:pPr>
      <w:ind w:left="720"/>
      <w:contextualSpacing/>
    </w:pPr>
    <w:rPr>
      <w:rFonts w:eastAsiaTheme="minorHAnsi" w:cstheme="minorBidi"/>
      <w:szCs w:val="22"/>
    </w:rPr>
  </w:style>
  <w:style w:type="paragraph" w:styleId="BodyTextIndent">
    <w:name w:val="Body Text Indent"/>
    <w:basedOn w:val="Normal"/>
    <w:link w:val="BodyTextIndentChar"/>
    <w:uiPriority w:val="99"/>
    <w:unhideWhenUsed/>
    <w:rsid w:val="000C55CA"/>
    <w:pPr>
      <w:spacing w:after="120"/>
      <w:ind w:left="360"/>
    </w:pPr>
  </w:style>
  <w:style w:type="character" w:customStyle="1" w:styleId="BodyTextIndentChar">
    <w:name w:val="Body Text Indent Char"/>
    <w:basedOn w:val="DefaultParagraphFont"/>
    <w:link w:val="BodyTextIndent"/>
    <w:uiPriority w:val="99"/>
    <w:rsid w:val="000C55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5CA"/>
    <w:rPr>
      <w:rFonts w:ascii="Tahoma" w:hAnsi="Tahoma" w:cs="Tahoma"/>
      <w:sz w:val="16"/>
      <w:szCs w:val="16"/>
    </w:rPr>
  </w:style>
  <w:style w:type="character" w:customStyle="1" w:styleId="BalloonTextChar">
    <w:name w:val="Balloon Text Char"/>
    <w:basedOn w:val="DefaultParagraphFont"/>
    <w:link w:val="BalloonText"/>
    <w:uiPriority w:val="99"/>
    <w:semiHidden/>
    <w:rsid w:val="000C55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451D"/>
    <w:rPr>
      <w:sz w:val="16"/>
      <w:szCs w:val="16"/>
    </w:rPr>
  </w:style>
  <w:style w:type="paragraph" w:styleId="CommentText">
    <w:name w:val="annotation text"/>
    <w:basedOn w:val="Normal"/>
    <w:link w:val="CommentTextChar"/>
    <w:uiPriority w:val="99"/>
    <w:semiHidden/>
    <w:unhideWhenUsed/>
    <w:rsid w:val="0057451D"/>
    <w:rPr>
      <w:sz w:val="20"/>
      <w:szCs w:val="20"/>
    </w:rPr>
  </w:style>
  <w:style w:type="character" w:customStyle="1" w:styleId="CommentTextChar">
    <w:name w:val="Comment Text Char"/>
    <w:basedOn w:val="DefaultParagraphFont"/>
    <w:link w:val="CommentText"/>
    <w:uiPriority w:val="99"/>
    <w:semiHidden/>
    <w:rsid w:val="00574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51D"/>
    <w:rPr>
      <w:b/>
      <w:bCs/>
    </w:rPr>
  </w:style>
  <w:style w:type="character" w:customStyle="1" w:styleId="CommentSubjectChar">
    <w:name w:val="Comment Subject Char"/>
    <w:basedOn w:val="CommentTextChar"/>
    <w:link w:val="CommentSubject"/>
    <w:uiPriority w:val="99"/>
    <w:semiHidden/>
    <w:rsid w:val="0057451D"/>
    <w:rPr>
      <w:rFonts w:ascii="Times New Roman" w:eastAsia="Times New Roman" w:hAnsi="Times New Roman" w:cs="Times New Roman"/>
      <w:b/>
      <w:bCs/>
      <w:sz w:val="20"/>
      <w:szCs w:val="20"/>
    </w:rPr>
  </w:style>
  <w:style w:type="paragraph" w:styleId="Revision">
    <w:name w:val="Revision"/>
    <w:hidden/>
    <w:uiPriority w:val="99"/>
    <w:semiHidden/>
    <w:rsid w:val="00FD28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D6A"/>
    <w:pPr>
      <w:tabs>
        <w:tab w:val="center" w:pos="4680"/>
        <w:tab w:val="right" w:pos="9360"/>
      </w:tabs>
    </w:pPr>
  </w:style>
  <w:style w:type="character" w:customStyle="1" w:styleId="HeaderChar">
    <w:name w:val="Header Char"/>
    <w:basedOn w:val="DefaultParagraphFont"/>
    <w:link w:val="Header"/>
    <w:uiPriority w:val="99"/>
    <w:rsid w:val="00B84D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D6A"/>
    <w:pPr>
      <w:tabs>
        <w:tab w:val="center" w:pos="4680"/>
        <w:tab w:val="right" w:pos="9360"/>
      </w:tabs>
    </w:pPr>
  </w:style>
  <w:style w:type="character" w:customStyle="1" w:styleId="FooterChar">
    <w:name w:val="Footer Char"/>
    <w:basedOn w:val="DefaultParagraphFont"/>
    <w:link w:val="Footer"/>
    <w:uiPriority w:val="99"/>
    <w:rsid w:val="00B84D6A"/>
    <w:rPr>
      <w:rFonts w:ascii="Times New Roman" w:eastAsia="Times New Roman" w:hAnsi="Times New Roman" w:cs="Times New Roman"/>
      <w:sz w:val="24"/>
      <w:szCs w:val="24"/>
    </w:rPr>
  </w:style>
  <w:style w:type="character" w:styleId="PageNumber">
    <w:name w:val="page number"/>
    <w:semiHidden/>
    <w:unhideWhenUsed/>
    <w:rsid w:val="00B84D6A"/>
  </w:style>
  <w:style w:type="character" w:customStyle="1" w:styleId="Heading3Char">
    <w:name w:val="Heading 3 Char"/>
    <w:basedOn w:val="DefaultParagraphFont"/>
    <w:link w:val="Heading3"/>
    <w:uiPriority w:val="9"/>
    <w:rsid w:val="003F57FE"/>
    <w:rPr>
      <w:rFonts w:asciiTheme="majorHAnsi" w:eastAsiaTheme="majorEastAsia" w:hAnsiTheme="majorHAnsi" w:cstheme="majorBidi"/>
      <w:b/>
      <w:bCs/>
      <w:color w:val="4F81BD" w:themeColor="accent1"/>
      <w:sz w:val="24"/>
    </w:rPr>
  </w:style>
  <w:style w:type="paragraph" w:customStyle="1" w:styleId="3">
    <w:name w:val="3)"/>
    <w:basedOn w:val="Normal"/>
    <w:rsid w:val="003F57FE"/>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B780-E1FD-498B-A300-61727A1E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Grewal, Rupinderjit</dc:creator>
  <cp:lastModifiedBy>Pledgie, Dianne</cp:lastModifiedBy>
  <cp:revision>4</cp:revision>
  <cp:lastPrinted>2015-07-28T21:12:00Z</cp:lastPrinted>
  <dcterms:created xsi:type="dcterms:W3CDTF">2017-07-10T17:27:00Z</dcterms:created>
  <dcterms:modified xsi:type="dcterms:W3CDTF">2017-09-25T17:44:00Z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oFAAC41Wbh9etaXcSlb553yhAF3sfuM/6Vkb+EAH+Jjy5P1FVthLNI5Bfjj7AiMiJgPFQyiuj3UQUrDT
In3070aLUf4WRW6yDd/nv7fid9i5WdT+hx0aAwidw8UtutGVzEARVRV7VacVbxy2rkfeFiexjBq7
N+Y8gVRMF/c63zw06cXuoJOPpo5gDDQPxOhqmurOAhRSQGPSXyItFki+v/VDeHhw/qQ/RXkRAQw9
Jj1A9jA+GmgwD+1/H</vt:lpwstr>
  </property>
  <property fmtid="{D5CDD505-2E9C-101B-9397-08002B2CF9AE}" pid="3" name="MAIL_MSG_ID2">
    <vt:lpwstr>AIOO1J4+uwZO3dcwJCTRtcAFC/p1rgUx+2unbgoU99b6HRfHw3nrkIOAZs8
z6t5vG3LTOQv5vA+s5qlHMhSUkZwXK+JTYoYXWz+SnPdyikQ</vt:lpwstr>
  </property>
  <property fmtid="{D5CDD505-2E9C-101B-9397-08002B2CF9AE}" pid="4" name="RESPONSE_SENDER_NAME">
    <vt:lpwstr>sAAAE34RQVAK31l4nSzBAOwTt6YmVeo4braEFO8De0hm5jE=</vt:lpwstr>
  </property>
  <property fmtid="{D5CDD505-2E9C-101B-9397-08002B2CF9AE}" pid="5" name="EMAIL_OWNER_ADDRESS">
    <vt:lpwstr>ABAAv4tRYjpfjUuon0p2meMdUqjL6yMdzJQGoMqwyF8zSGTbsw+p9g2TvXztO5Rd80Lp</vt:lpwstr>
  </property>
</Properties>
</file>