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73" w:rsidRPr="00755B28" w:rsidRDefault="00B93573" w:rsidP="00755B28">
      <w:pPr>
        <w:autoSpaceDE w:val="0"/>
        <w:autoSpaceDN w:val="0"/>
        <w:adjustRightInd w:val="0"/>
        <w:spacing w:before="11"/>
        <w:jc w:val="center"/>
        <w:rPr>
          <w:b/>
          <w:sz w:val="32"/>
          <w:szCs w:val="28"/>
        </w:rPr>
      </w:pPr>
      <w:r>
        <w:rPr>
          <w:b/>
          <w:sz w:val="32"/>
          <w:szCs w:val="28"/>
        </w:rPr>
        <w:t>Public Relations and Media Communications</w:t>
      </w:r>
      <w:r w:rsidR="00755B28">
        <w:rPr>
          <w:b/>
          <w:sz w:val="32"/>
          <w:szCs w:val="28"/>
        </w:rPr>
        <w:t>: Introductory Guidance</w:t>
      </w:r>
    </w:p>
    <w:p w:rsidR="00B93573" w:rsidRPr="00245D73" w:rsidRDefault="00B93573" w:rsidP="00B93573">
      <w:pPr>
        <w:pBdr>
          <w:bottom w:val="single" w:sz="12" w:space="1" w:color="auto"/>
        </w:pBdr>
        <w:autoSpaceDE w:val="0"/>
        <w:autoSpaceDN w:val="0"/>
        <w:adjustRightInd w:val="0"/>
        <w:ind w:right="-20"/>
        <w:rPr>
          <w:b/>
          <w:bCs w:val="0"/>
        </w:rPr>
      </w:pPr>
    </w:p>
    <w:p w:rsidR="00F3189C" w:rsidRPr="00B93573" w:rsidRDefault="00F3189C" w:rsidP="00F3189C"/>
    <w:p w:rsidR="00F3189C" w:rsidRPr="00B27277" w:rsidRDefault="00755B28" w:rsidP="00755B28">
      <w:pPr>
        <w:rPr>
          <w:spacing w:val="0"/>
        </w:rPr>
      </w:pPr>
      <w:r w:rsidRPr="00B27277">
        <w:rPr>
          <w:b/>
          <w:spacing w:val="0"/>
        </w:rPr>
        <w:t>Background</w:t>
      </w:r>
    </w:p>
    <w:p w:rsidR="00F3189C" w:rsidRPr="00B27277" w:rsidRDefault="00F3189C" w:rsidP="00F3189C">
      <w:pPr>
        <w:rPr>
          <w:spacing w:val="0"/>
        </w:rPr>
      </w:pPr>
    </w:p>
    <w:p w:rsidR="00F3189C" w:rsidRPr="00B27277" w:rsidRDefault="00F3189C" w:rsidP="00832765">
      <w:pPr>
        <w:jc w:val="both"/>
        <w:rPr>
          <w:spacing w:val="0"/>
        </w:rPr>
      </w:pPr>
      <w:r w:rsidRPr="00B27277">
        <w:rPr>
          <w:spacing w:val="0"/>
        </w:rPr>
        <w:t xml:space="preserve">In general, advertising activities are regulated by the Federal Communications Commission (“FCC”), which requires, among other things, truth and accuracy in </w:t>
      </w:r>
      <w:r w:rsidR="004305A6" w:rsidRPr="00B27277">
        <w:rPr>
          <w:spacing w:val="0"/>
        </w:rPr>
        <w:t xml:space="preserve">advertising. </w:t>
      </w:r>
      <w:r w:rsidRPr="00B27277">
        <w:rPr>
          <w:spacing w:val="0"/>
        </w:rPr>
        <w:t>Other types of public relations and media-relate</w:t>
      </w:r>
      <w:r w:rsidR="00B93573" w:rsidRPr="00B27277">
        <w:rPr>
          <w:spacing w:val="0"/>
        </w:rPr>
        <w:t>d services may</w:t>
      </w:r>
      <w:r w:rsidR="004305A6" w:rsidRPr="00B27277">
        <w:rPr>
          <w:spacing w:val="0"/>
        </w:rPr>
        <w:t xml:space="preserve"> also</w:t>
      </w:r>
      <w:r w:rsidR="00B93573" w:rsidRPr="00B27277">
        <w:rPr>
          <w:spacing w:val="0"/>
        </w:rPr>
        <w:t xml:space="preserve"> be regulated by state law and sometimes local</w:t>
      </w:r>
      <w:r w:rsidRPr="00B27277">
        <w:rPr>
          <w:spacing w:val="0"/>
        </w:rPr>
        <w:t xml:space="preserve"> law.</w:t>
      </w:r>
    </w:p>
    <w:p w:rsidR="00F3189C" w:rsidRPr="00B27277" w:rsidRDefault="00F3189C" w:rsidP="00832765">
      <w:pPr>
        <w:ind w:firstLine="720"/>
        <w:jc w:val="both"/>
        <w:rPr>
          <w:spacing w:val="0"/>
        </w:rPr>
      </w:pPr>
    </w:p>
    <w:p w:rsidR="00F3189C" w:rsidRPr="00B27277" w:rsidRDefault="004305A6" w:rsidP="00832765">
      <w:pPr>
        <w:jc w:val="both"/>
        <w:rPr>
          <w:spacing w:val="0"/>
        </w:rPr>
      </w:pPr>
      <w:r w:rsidRPr="00B27277">
        <w:rPr>
          <w:spacing w:val="0"/>
        </w:rPr>
        <w:t xml:space="preserve">If a </w:t>
      </w:r>
      <w:r w:rsidR="00F3189C" w:rsidRPr="00B27277">
        <w:rPr>
          <w:spacing w:val="0"/>
        </w:rPr>
        <w:t>PCA</w:t>
      </w:r>
      <w:r w:rsidR="003932C9" w:rsidRPr="00B27277">
        <w:rPr>
          <w:spacing w:val="0"/>
        </w:rPr>
        <w:t>-</w:t>
      </w:r>
      <w:r w:rsidRPr="00B27277">
        <w:rPr>
          <w:spacing w:val="0"/>
        </w:rPr>
        <w:t>HCCN</w:t>
      </w:r>
      <w:r w:rsidR="00F3189C" w:rsidRPr="00B27277">
        <w:rPr>
          <w:spacing w:val="0"/>
        </w:rPr>
        <w:t xml:space="preserve"> is promoting its members, one of the most effective public relations strategies is asking health center patients to provide testimonials on </w:t>
      </w:r>
      <w:r w:rsidRPr="00B27277">
        <w:rPr>
          <w:spacing w:val="0"/>
        </w:rPr>
        <w:t>behalf of their health center.</w:t>
      </w:r>
      <w:r w:rsidR="002460FC" w:rsidRPr="00B27277">
        <w:rPr>
          <w:rStyle w:val="FootnoteReference"/>
          <w:spacing w:val="0"/>
        </w:rPr>
        <w:footnoteReference w:id="1"/>
      </w:r>
      <w:r w:rsidRPr="00B27277">
        <w:rPr>
          <w:spacing w:val="0"/>
        </w:rPr>
        <w:t xml:space="preserve"> </w:t>
      </w:r>
      <w:r w:rsidR="00F3189C" w:rsidRPr="00B27277">
        <w:rPr>
          <w:spacing w:val="0"/>
        </w:rPr>
        <w:t xml:space="preserve">If the </w:t>
      </w:r>
      <w:r w:rsidR="00433377" w:rsidRPr="00B27277">
        <w:rPr>
          <w:spacing w:val="0"/>
        </w:rPr>
        <w:t>PCA</w:t>
      </w:r>
      <w:r w:rsidR="003932C9" w:rsidRPr="00B27277">
        <w:rPr>
          <w:spacing w:val="0"/>
        </w:rPr>
        <w:t>-</w:t>
      </w:r>
      <w:r w:rsidR="00433377" w:rsidRPr="00B27277">
        <w:rPr>
          <w:spacing w:val="0"/>
        </w:rPr>
        <w:t xml:space="preserve">HCCN is a covered entity and the </w:t>
      </w:r>
      <w:r w:rsidR="00F3189C" w:rsidRPr="00B27277">
        <w:rPr>
          <w:spacing w:val="0"/>
        </w:rPr>
        <w:t>content of the testimonial includes patient information that i</w:t>
      </w:r>
      <w:r w:rsidRPr="00B27277">
        <w:rPr>
          <w:spacing w:val="0"/>
        </w:rPr>
        <w:t xml:space="preserve">s protected under HIPAA, the </w:t>
      </w:r>
      <w:r w:rsidR="00F3189C" w:rsidRPr="00B27277">
        <w:rPr>
          <w:spacing w:val="0"/>
        </w:rPr>
        <w:t>PCA</w:t>
      </w:r>
      <w:r w:rsidR="003932C9" w:rsidRPr="00B27277">
        <w:rPr>
          <w:spacing w:val="0"/>
        </w:rPr>
        <w:t>-</w:t>
      </w:r>
      <w:r w:rsidRPr="00B27277">
        <w:rPr>
          <w:spacing w:val="0"/>
        </w:rPr>
        <w:t>HCCN</w:t>
      </w:r>
      <w:r w:rsidR="00F3189C" w:rsidRPr="00B27277">
        <w:rPr>
          <w:spacing w:val="0"/>
        </w:rPr>
        <w:t xml:space="preserve"> is required to obtain an authorization from the patient prior to using the protected inform</w:t>
      </w:r>
      <w:r w:rsidRPr="00B27277">
        <w:rPr>
          <w:spacing w:val="0"/>
        </w:rPr>
        <w:t xml:space="preserve">ation. </w:t>
      </w:r>
      <w:r w:rsidR="00F3189C" w:rsidRPr="00B27277">
        <w:rPr>
          <w:spacing w:val="0"/>
        </w:rPr>
        <w:t>Re</w:t>
      </w:r>
      <w:r w:rsidRPr="00B27277">
        <w:rPr>
          <w:spacing w:val="0"/>
        </w:rPr>
        <w:t xml:space="preserve">gardless of the content, the </w:t>
      </w:r>
      <w:r w:rsidR="00F3189C" w:rsidRPr="00B27277">
        <w:rPr>
          <w:spacing w:val="0"/>
        </w:rPr>
        <w:t>PCA</w:t>
      </w:r>
      <w:r w:rsidRPr="00B27277">
        <w:rPr>
          <w:spacing w:val="0"/>
        </w:rPr>
        <w:t>-HCCN</w:t>
      </w:r>
      <w:r w:rsidR="00F3189C" w:rsidRPr="00B27277">
        <w:rPr>
          <w:spacing w:val="0"/>
        </w:rPr>
        <w:t xml:space="preserve"> should obtain a release prior to using the i</w:t>
      </w:r>
      <w:r w:rsidRPr="00B27277">
        <w:rPr>
          <w:spacing w:val="0"/>
        </w:rPr>
        <w:t>mage or voice of any individual.</w:t>
      </w:r>
      <w:r w:rsidR="00433377" w:rsidRPr="00B27277">
        <w:rPr>
          <w:spacing w:val="0"/>
        </w:rPr>
        <w:t xml:space="preserve"> </w:t>
      </w:r>
    </w:p>
    <w:p w:rsidR="00F3189C" w:rsidRPr="00B27277" w:rsidRDefault="00F3189C" w:rsidP="00832765">
      <w:pPr>
        <w:ind w:firstLine="720"/>
        <w:jc w:val="both"/>
        <w:rPr>
          <w:spacing w:val="0"/>
        </w:rPr>
      </w:pPr>
    </w:p>
    <w:p w:rsidR="00F3189C" w:rsidRPr="00B27277" w:rsidRDefault="004305A6" w:rsidP="00832765">
      <w:pPr>
        <w:tabs>
          <w:tab w:val="left" w:pos="-1080"/>
          <w:tab w:val="left" w:pos="-720"/>
          <w:tab w:val="left" w:pos="0"/>
          <w:tab w:val="left" w:pos="720"/>
          <w:tab w:val="left" w:pos="1170"/>
        </w:tabs>
        <w:jc w:val="both"/>
        <w:rPr>
          <w:spacing w:val="0"/>
        </w:rPr>
      </w:pPr>
      <w:r w:rsidRPr="00B27277">
        <w:rPr>
          <w:spacing w:val="0"/>
        </w:rPr>
        <w:t xml:space="preserve">If the </w:t>
      </w:r>
      <w:r w:rsidR="00F3189C" w:rsidRPr="00B27277">
        <w:rPr>
          <w:spacing w:val="0"/>
        </w:rPr>
        <w:t>PCA</w:t>
      </w:r>
      <w:r w:rsidRPr="00B27277">
        <w:rPr>
          <w:spacing w:val="0"/>
        </w:rPr>
        <w:t>-HCCN</w:t>
      </w:r>
      <w:r w:rsidR="00F3189C" w:rsidRPr="00B27277">
        <w:rPr>
          <w:spacing w:val="0"/>
        </w:rPr>
        <w:t xml:space="preserve"> hires a publi</w:t>
      </w:r>
      <w:r w:rsidR="00B93573" w:rsidRPr="00B27277">
        <w:rPr>
          <w:spacing w:val="0"/>
        </w:rPr>
        <w:t>c relations or media consultant</w:t>
      </w:r>
      <w:r w:rsidR="00F3189C" w:rsidRPr="00B27277">
        <w:rPr>
          <w:spacing w:val="0"/>
        </w:rPr>
        <w:t xml:space="preserve"> who develops materials </w:t>
      </w:r>
      <w:r w:rsidR="002C24F0" w:rsidRPr="00B27277">
        <w:rPr>
          <w:spacing w:val="0"/>
        </w:rPr>
        <w:t>in the course of the engagement</w:t>
      </w:r>
      <w:r w:rsidR="00F3189C" w:rsidRPr="00B27277">
        <w:rPr>
          <w:spacing w:val="0"/>
        </w:rPr>
        <w:t>, the consultant will own the copyright on such materials</w:t>
      </w:r>
      <w:r w:rsidR="002C24F0" w:rsidRPr="00B27277">
        <w:rPr>
          <w:spacing w:val="0"/>
        </w:rPr>
        <w:t xml:space="preserve"> unless the materials are classified as a “work made for hire” </w:t>
      </w:r>
      <w:r w:rsidR="00B17970" w:rsidRPr="00B27277">
        <w:rPr>
          <w:spacing w:val="0"/>
        </w:rPr>
        <w:t>under copyright law</w:t>
      </w:r>
      <w:r w:rsidR="00F3189C" w:rsidRPr="00B27277">
        <w:rPr>
          <w:spacing w:val="0"/>
        </w:rPr>
        <w:t>.</w:t>
      </w:r>
      <w:r w:rsidR="00B17970" w:rsidRPr="00B27277">
        <w:rPr>
          <w:rStyle w:val="FootnoteReference"/>
          <w:spacing w:val="0"/>
        </w:rPr>
        <w:footnoteReference w:id="2"/>
      </w:r>
      <w:r w:rsidR="00B17970" w:rsidRPr="00B27277">
        <w:rPr>
          <w:spacing w:val="0"/>
        </w:rPr>
        <w:t xml:space="preserve"> The consultant</w:t>
      </w:r>
      <w:r w:rsidR="00F3189C" w:rsidRPr="00B27277">
        <w:rPr>
          <w:spacing w:val="0"/>
        </w:rPr>
        <w:t xml:space="preserve"> may grant, assign and transfer his/her right, title and interest in the materials (including the right to secure the copyright) to th</w:t>
      </w:r>
      <w:r w:rsidR="00B17970" w:rsidRPr="00B27277">
        <w:rPr>
          <w:spacing w:val="0"/>
        </w:rPr>
        <w:t xml:space="preserve">e </w:t>
      </w:r>
      <w:r w:rsidR="00B93573" w:rsidRPr="00B27277">
        <w:rPr>
          <w:spacing w:val="0"/>
        </w:rPr>
        <w:t>PCA</w:t>
      </w:r>
      <w:r w:rsidR="00B17970" w:rsidRPr="00B27277">
        <w:rPr>
          <w:spacing w:val="0"/>
        </w:rPr>
        <w:t>-HCCN.</w:t>
      </w:r>
      <w:r w:rsidR="00B17970" w:rsidRPr="00B27277">
        <w:rPr>
          <w:rStyle w:val="FootnoteReference"/>
          <w:spacing w:val="0"/>
        </w:rPr>
        <w:footnoteReference w:id="3"/>
      </w:r>
    </w:p>
    <w:p w:rsidR="00F3189C" w:rsidRPr="00B27277" w:rsidRDefault="00F3189C" w:rsidP="00832765">
      <w:pPr>
        <w:jc w:val="both"/>
        <w:rPr>
          <w:spacing w:val="0"/>
        </w:rPr>
      </w:pPr>
    </w:p>
    <w:p w:rsidR="00F3189C" w:rsidRPr="00B27277" w:rsidRDefault="003B5D4A" w:rsidP="00832765">
      <w:pPr>
        <w:jc w:val="both"/>
        <w:rPr>
          <w:spacing w:val="0"/>
        </w:rPr>
      </w:pPr>
      <w:r w:rsidRPr="00B27277">
        <w:rPr>
          <w:b/>
          <w:spacing w:val="0"/>
        </w:rPr>
        <w:t>Advice and Recommendations</w:t>
      </w:r>
      <w:r w:rsidRPr="00B27277">
        <w:rPr>
          <w:rStyle w:val="FootnoteReference"/>
          <w:b/>
          <w:spacing w:val="0"/>
        </w:rPr>
        <w:footnoteReference w:id="4"/>
      </w:r>
    </w:p>
    <w:p w:rsidR="00F3189C" w:rsidRPr="00B27277" w:rsidRDefault="00F3189C" w:rsidP="00832765">
      <w:pPr>
        <w:jc w:val="both"/>
        <w:rPr>
          <w:spacing w:val="0"/>
        </w:rPr>
      </w:pPr>
    </w:p>
    <w:p w:rsidR="00F3189C" w:rsidRPr="00B27277" w:rsidRDefault="00F3189C" w:rsidP="00832765">
      <w:pPr>
        <w:jc w:val="both"/>
        <w:rPr>
          <w:spacing w:val="0"/>
        </w:rPr>
      </w:pPr>
      <w:r w:rsidRPr="00B27277">
        <w:rPr>
          <w:spacing w:val="0"/>
        </w:rPr>
        <w:t>While the FCC rules govern truth and accuracy in advertising, more than likely, they do not cover news releases issued by</w:t>
      </w:r>
      <w:r w:rsidR="00584D18" w:rsidRPr="00B27277">
        <w:rPr>
          <w:spacing w:val="0"/>
        </w:rPr>
        <w:t xml:space="preserve"> organizations. Regardless, </w:t>
      </w:r>
      <w:r w:rsidRPr="00B27277">
        <w:rPr>
          <w:spacing w:val="0"/>
        </w:rPr>
        <w:t>PCAs</w:t>
      </w:r>
      <w:r w:rsidR="00584D18" w:rsidRPr="00B27277">
        <w:rPr>
          <w:spacing w:val="0"/>
        </w:rPr>
        <w:t>-HCCNs</w:t>
      </w:r>
      <w:r w:rsidRPr="00B27277">
        <w:rPr>
          <w:spacing w:val="0"/>
        </w:rPr>
        <w:t xml:space="preserve"> should follow truth in advertising principles when issuing any information to the public (whether through advertisements, news releases, interviews, etc.), as well a</w:t>
      </w:r>
      <w:r w:rsidR="00584D18" w:rsidRPr="00B27277">
        <w:rPr>
          <w:spacing w:val="0"/>
        </w:rPr>
        <w:t>s when speaking with the media.</w:t>
      </w:r>
      <w:r w:rsidRPr="00B27277">
        <w:rPr>
          <w:spacing w:val="0"/>
        </w:rPr>
        <w:t xml:space="preserve"> This is p</w:t>
      </w:r>
      <w:r w:rsidR="00584D18" w:rsidRPr="00B27277">
        <w:rPr>
          <w:spacing w:val="0"/>
        </w:rPr>
        <w:t xml:space="preserve">articularly important if the </w:t>
      </w:r>
      <w:r w:rsidRPr="00B27277">
        <w:rPr>
          <w:spacing w:val="0"/>
        </w:rPr>
        <w:t>PCA</w:t>
      </w:r>
      <w:r w:rsidR="00584D18" w:rsidRPr="00B27277">
        <w:rPr>
          <w:spacing w:val="0"/>
        </w:rPr>
        <w:t>-HCCN</w:t>
      </w:r>
      <w:r w:rsidRPr="00B27277">
        <w:rPr>
          <w:spacing w:val="0"/>
        </w:rPr>
        <w:t xml:space="preserve"> is conducting a “defensive” interview, i.e., defending actions taken by the o</w:t>
      </w:r>
      <w:r w:rsidR="00584D18" w:rsidRPr="00B27277">
        <w:rPr>
          <w:spacing w:val="0"/>
        </w:rPr>
        <w:t xml:space="preserve">rganization. </w:t>
      </w:r>
      <w:r w:rsidR="00B93573" w:rsidRPr="00B27277">
        <w:rPr>
          <w:spacing w:val="0"/>
        </w:rPr>
        <w:t>Any communication</w:t>
      </w:r>
      <w:r w:rsidRPr="00B27277">
        <w:rPr>
          <w:spacing w:val="0"/>
        </w:rPr>
        <w:t xml:space="preserve"> with the media and/or the public that is not truthful, misrepresents a situation, or is misleading</w:t>
      </w:r>
      <w:r w:rsidR="00AA6435" w:rsidRPr="00B27277">
        <w:rPr>
          <w:spacing w:val="0"/>
        </w:rPr>
        <w:t>,</w:t>
      </w:r>
      <w:r w:rsidR="00584D18" w:rsidRPr="00B27277">
        <w:rPr>
          <w:spacing w:val="0"/>
        </w:rPr>
        <w:t xml:space="preserve"> can adversely impact the </w:t>
      </w:r>
      <w:r w:rsidRPr="00B27277">
        <w:rPr>
          <w:spacing w:val="0"/>
        </w:rPr>
        <w:t>PCA</w:t>
      </w:r>
      <w:r w:rsidR="00584D18" w:rsidRPr="00B27277">
        <w:rPr>
          <w:spacing w:val="0"/>
        </w:rPr>
        <w:t>-HCCN</w:t>
      </w:r>
      <w:r w:rsidRPr="00B27277">
        <w:rPr>
          <w:spacing w:val="0"/>
        </w:rPr>
        <w:t>’s reputation with</w:t>
      </w:r>
      <w:r w:rsidR="00AA6435" w:rsidRPr="00B27277">
        <w:rPr>
          <w:spacing w:val="0"/>
        </w:rPr>
        <w:t xml:space="preserve"> </w:t>
      </w:r>
      <w:r w:rsidRPr="00B27277">
        <w:rPr>
          <w:spacing w:val="0"/>
        </w:rPr>
        <w:t>the public and with its own membership, regardless of whether the activity also results in legal exposure.</w:t>
      </w:r>
    </w:p>
    <w:p w:rsidR="00F3189C" w:rsidRPr="00B27277" w:rsidRDefault="00F3189C" w:rsidP="00832765">
      <w:pPr>
        <w:jc w:val="both"/>
        <w:rPr>
          <w:spacing w:val="0"/>
        </w:rPr>
      </w:pPr>
      <w:r w:rsidRPr="00B27277">
        <w:rPr>
          <w:spacing w:val="0"/>
        </w:rPr>
        <w:lastRenderedPageBreak/>
        <w:t>As part of its pu</w:t>
      </w:r>
      <w:r w:rsidR="00584D18" w:rsidRPr="00B27277">
        <w:rPr>
          <w:spacing w:val="0"/>
        </w:rPr>
        <w:t xml:space="preserve">blic relations strategy, the </w:t>
      </w:r>
      <w:r w:rsidRPr="00B27277">
        <w:rPr>
          <w:spacing w:val="0"/>
        </w:rPr>
        <w:t>PCA</w:t>
      </w:r>
      <w:r w:rsidR="00584D18" w:rsidRPr="00B27277">
        <w:rPr>
          <w:spacing w:val="0"/>
        </w:rPr>
        <w:t>-HCCN</w:t>
      </w:r>
      <w:r w:rsidRPr="00B27277">
        <w:rPr>
          <w:spacing w:val="0"/>
        </w:rPr>
        <w:t xml:space="preserve"> may develop community service announcements and ads, videos, and other types of promotional materials, in writte</w:t>
      </w:r>
      <w:r w:rsidR="001B138B" w:rsidRPr="00B27277">
        <w:rPr>
          <w:spacing w:val="0"/>
        </w:rPr>
        <w:t>n, auditory and/or visual form.</w:t>
      </w:r>
      <w:r w:rsidRPr="00B27277">
        <w:rPr>
          <w:spacing w:val="0"/>
        </w:rPr>
        <w:t xml:space="preserve"> While this may be an effective tool fo</w:t>
      </w:r>
      <w:r w:rsidR="001B138B" w:rsidRPr="00B27277">
        <w:rPr>
          <w:spacing w:val="0"/>
        </w:rPr>
        <w:t xml:space="preserve">r “getting the message out,” </w:t>
      </w:r>
      <w:r w:rsidRPr="00B27277">
        <w:rPr>
          <w:spacing w:val="0"/>
        </w:rPr>
        <w:t>PCAs</w:t>
      </w:r>
      <w:r w:rsidR="001B138B" w:rsidRPr="00B27277">
        <w:rPr>
          <w:spacing w:val="0"/>
        </w:rPr>
        <w:t>-HCCNs</w:t>
      </w:r>
      <w:r w:rsidRPr="00B27277">
        <w:rPr>
          <w:spacing w:val="0"/>
        </w:rPr>
        <w:t xml:space="preserve"> should be aware that newspapers</w:t>
      </w:r>
      <w:r w:rsidR="00B93573" w:rsidRPr="00B27277">
        <w:rPr>
          <w:spacing w:val="0"/>
        </w:rPr>
        <w:t>,</w:t>
      </w:r>
      <w:r w:rsidR="00AA6435" w:rsidRPr="00B27277">
        <w:rPr>
          <w:spacing w:val="0"/>
        </w:rPr>
        <w:t xml:space="preserve"> </w:t>
      </w:r>
      <w:r w:rsidRPr="00B27277">
        <w:rPr>
          <w:spacing w:val="0"/>
        </w:rPr>
        <w:t xml:space="preserve">radio and television outlets may not be under any obligation to print and/or air unsolicited </w:t>
      </w:r>
      <w:r w:rsidR="00B93573" w:rsidRPr="00B27277">
        <w:rPr>
          <w:spacing w:val="0"/>
        </w:rPr>
        <w:t>announcements or ads</w:t>
      </w:r>
      <w:r w:rsidR="001B138B" w:rsidRPr="00B27277">
        <w:rPr>
          <w:spacing w:val="0"/>
        </w:rPr>
        <w:t>.</w:t>
      </w:r>
      <w:r w:rsidRPr="00B27277">
        <w:rPr>
          <w:spacing w:val="0"/>
        </w:rPr>
        <w:t xml:space="preserve"> Accordingly, prior to making a large investment in developing written, auditory</w:t>
      </w:r>
      <w:r w:rsidR="00AA6435" w:rsidRPr="00B27277">
        <w:rPr>
          <w:spacing w:val="0"/>
        </w:rPr>
        <w:t>,</w:t>
      </w:r>
      <w:r w:rsidRPr="00B27277">
        <w:rPr>
          <w:spacing w:val="0"/>
        </w:rPr>
        <w:t xml:space="preserve"> and visua</w:t>
      </w:r>
      <w:r w:rsidR="001B138B" w:rsidRPr="00B27277">
        <w:rPr>
          <w:spacing w:val="0"/>
        </w:rPr>
        <w:t xml:space="preserve">l promotional materials, the </w:t>
      </w:r>
      <w:r w:rsidRPr="00B27277">
        <w:rPr>
          <w:spacing w:val="0"/>
        </w:rPr>
        <w:t>PCA</w:t>
      </w:r>
      <w:r w:rsidR="001B138B" w:rsidRPr="00B27277">
        <w:rPr>
          <w:spacing w:val="0"/>
        </w:rPr>
        <w:t>-HCCN</w:t>
      </w:r>
      <w:r w:rsidRPr="00B27277">
        <w:rPr>
          <w:spacing w:val="0"/>
        </w:rPr>
        <w:t xml:space="preserve"> should ensure that it has an appropriate medium in which to print and/or air the resulting product.</w:t>
      </w:r>
    </w:p>
    <w:p w:rsidR="00F3189C" w:rsidRPr="00B27277" w:rsidRDefault="00F3189C" w:rsidP="00832765">
      <w:pPr>
        <w:jc w:val="both"/>
        <w:rPr>
          <w:spacing w:val="0"/>
        </w:rPr>
      </w:pPr>
    </w:p>
    <w:p w:rsidR="00F3189C" w:rsidRPr="00B27277" w:rsidRDefault="00F3189C" w:rsidP="00832765">
      <w:pPr>
        <w:jc w:val="both"/>
        <w:rPr>
          <w:spacing w:val="0"/>
        </w:rPr>
      </w:pPr>
      <w:r w:rsidRPr="00B27277">
        <w:rPr>
          <w:spacing w:val="0"/>
        </w:rPr>
        <w:t>As discussed above, the use of testimonials or “real life” spokespersons can be very effective; however, before using these to</w:t>
      </w:r>
      <w:r w:rsidR="001B138B" w:rsidRPr="00B27277">
        <w:rPr>
          <w:spacing w:val="0"/>
        </w:rPr>
        <w:t xml:space="preserve">ols, it is advisable for the </w:t>
      </w:r>
      <w:r w:rsidRPr="00B27277">
        <w:rPr>
          <w:spacing w:val="0"/>
        </w:rPr>
        <w:t>PCA</w:t>
      </w:r>
      <w:r w:rsidR="001B138B" w:rsidRPr="00B27277">
        <w:rPr>
          <w:spacing w:val="0"/>
        </w:rPr>
        <w:t>-HCCN</w:t>
      </w:r>
      <w:r w:rsidRPr="00B27277">
        <w:rPr>
          <w:spacing w:val="0"/>
        </w:rPr>
        <w:t xml:space="preserve"> to obtain appropriate authorizations and/or releases from the individuals involved.</w:t>
      </w:r>
    </w:p>
    <w:p w:rsidR="00F436DE" w:rsidRPr="00B27277" w:rsidRDefault="00F436DE" w:rsidP="00F3189C">
      <w:pPr>
        <w:rPr>
          <w:spacing w:val="0"/>
        </w:rPr>
      </w:pPr>
    </w:p>
    <w:p w:rsidR="00F436DE" w:rsidRPr="00B27277" w:rsidRDefault="00EB3407" w:rsidP="005904E7">
      <w:pPr>
        <w:pStyle w:val="ListParagraph"/>
        <w:numPr>
          <w:ilvl w:val="0"/>
          <w:numId w:val="4"/>
        </w:numPr>
        <w:ind w:left="1080"/>
        <w:rPr>
          <w:spacing w:val="0"/>
        </w:rPr>
      </w:pPr>
      <w:hyperlink r:id="rId9" w:history="1">
        <w:r w:rsidR="00F436DE" w:rsidRPr="00B27277">
          <w:rPr>
            <w:rStyle w:val="Hyperlink"/>
            <w:bCs w:val="0"/>
            <w:spacing w:val="0"/>
          </w:rPr>
          <w:t>Testimonials of health center patients</w:t>
        </w:r>
      </w:hyperlink>
      <w:r w:rsidR="00F436DE" w:rsidRPr="00B27277">
        <w:rPr>
          <w:rStyle w:val="Hyperlink"/>
          <w:bCs w:val="0"/>
          <w:spacing w:val="0"/>
        </w:rPr>
        <w:t>: Sample release</w:t>
      </w:r>
    </w:p>
    <w:p w:rsidR="00755B28" w:rsidRPr="00B27277" w:rsidRDefault="00755B28" w:rsidP="00F3189C">
      <w:pPr>
        <w:rPr>
          <w:spacing w:val="0"/>
        </w:rPr>
      </w:pPr>
    </w:p>
    <w:p w:rsidR="00F3189C" w:rsidRPr="00B27277" w:rsidRDefault="00F3189C" w:rsidP="00832765">
      <w:pPr>
        <w:jc w:val="both"/>
        <w:rPr>
          <w:spacing w:val="0"/>
        </w:rPr>
      </w:pPr>
      <w:r w:rsidRPr="00B27277">
        <w:rPr>
          <w:spacing w:val="0"/>
        </w:rPr>
        <w:t>With respect to media communicati</w:t>
      </w:r>
      <w:r w:rsidR="001B138B" w:rsidRPr="00B27277">
        <w:rPr>
          <w:spacing w:val="0"/>
        </w:rPr>
        <w:t xml:space="preserve">ons, it is important for the </w:t>
      </w:r>
      <w:r w:rsidRPr="00B27277">
        <w:rPr>
          <w:spacing w:val="0"/>
        </w:rPr>
        <w:t>PCA</w:t>
      </w:r>
      <w:r w:rsidR="001B138B" w:rsidRPr="00B27277">
        <w:rPr>
          <w:spacing w:val="0"/>
        </w:rPr>
        <w:t>-HCCN</w:t>
      </w:r>
      <w:r w:rsidRPr="00B27277">
        <w:rPr>
          <w:spacing w:val="0"/>
        </w:rPr>
        <w:t xml:space="preserve"> to develop a specific procedure regarding the manner in which all media inquiries will be handled (including a provision prohibiting employees and agents from speaking with the media wi</w:t>
      </w:r>
      <w:r w:rsidR="00B011ED" w:rsidRPr="00B27277">
        <w:rPr>
          <w:spacing w:val="0"/>
        </w:rPr>
        <w:t xml:space="preserve">thout authorization to do so). </w:t>
      </w:r>
      <w:r w:rsidRPr="00B27277">
        <w:rPr>
          <w:spacing w:val="0"/>
        </w:rPr>
        <w:t>Further, all staff should receive training on the media communications polic</w:t>
      </w:r>
      <w:r w:rsidR="00B011ED" w:rsidRPr="00B27277">
        <w:rPr>
          <w:spacing w:val="0"/>
        </w:rPr>
        <w:t>y.</w:t>
      </w:r>
      <w:r w:rsidRPr="00B27277">
        <w:rPr>
          <w:spacing w:val="0"/>
        </w:rPr>
        <w:t xml:space="preserve"> An inadvertent “slip of the tongue” could have deva</w:t>
      </w:r>
      <w:r w:rsidR="00B011ED" w:rsidRPr="00B27277">
        <w:rPr>
          <w:spacing w:val="0"/>
        </w:rPr>
        <w:t xml:space="preserve">stating consequences for the </w:t>
      </w:r>
      <w:r w:rsidRPr="00B27277">
        <w:rPr>
          <w:spacing w:val="0"/>
        </w:rPr>
        <w:t>PCA</w:t>
      </w:r>
      <w:r w:rsidR="00B011ED" w:rsidRPr="00B27277">
        <w:rPr>
          <w:spacing w:val="0"/>
        </w:rPr>
        <w:t>-HCCN</w:t>
      </w:r>
      <w:r w:rsidRPr="00B27277">
        <w:rPr>
          <w:spacing w:val="0"/>
        </w:rPr>
        <w:t>.</w:t>
      </w:r>
    </w:p>
    <w:p w:rsidR="00F3189C" w:rsidRPr="00B27277" w:rsidRDefault="00F3189C" w:rsidP="00F3189C">
      <w:pPr>
        <w:rPr>
          <w:spacing w:val="0"/>
        </w:rPr>
      </w:pPr>
    </w:p>
    <w:p w:rsidR="00F436DE" w:rsidRPr="00B27277" w:rsidRDefault="00EB3407" w:rsidP="005904E7">
      <w:pPr>
        <w:pStyle w:val="ListParagraph"/>
        <w:numPr>
          <w:ilvl w:val="0"/>
          <w:numId w:val="3"/>
        </w:numPr>
        <w:ind w:left="1080"/>
        <w:rPr>
          <w:spacing w:val="0"/>
        </w:rPr>
      </w:pPr>
      <w:hyperlink r:id="rId10" w:history="1">
        <w:r w:rsidR="00F436DE" w:rsidRPr="00B27277">
          <w:rPr>
            <w:rStyle w:val="Hyperlink"/>
            <w:spacing w:val="0"/>
          </w:rPr>
          <w:t>Public relations and media communications</w:t>
        </w:r>
      </w:hyperlink>
      <w:r w:rsidR="00F436DE" w:rsidRPr="00B27277">
        <w:rPr>
          <w:rStyle w:val="Hyperlink"/>
          <w:spacing w:val="0"/>
        </w:rPr>
        <w:t>: Sample policy and procedure</w:t>
      </w:r>
    </w:p>
    <w:p w:rsidR="00F436DE" w:rsidRPr="00B27277" w:rsidRDefault="00F436DE" w:rsidP="00F3189C">
      <w:pPr>
        <w:rPr>
          <w:spacing w:val="0"/>
        </w:rPr>
      </w:pPr>
    </w:p>
    <w:p w:rsidR="00F3189C" w:rsidRPr="00B27277" w:rsidRDefault="00F3189C" w:rsidP="00832765">
      <w:pPr>
        <w:tabs>
          <w:tab w:val="left" w:pos="-1080"/>
          <w:tab w:val="left" w:pos="-720"/>
          <w:tab w:val="left" w:pos="0"/>
          <w:tab w:val="left" w:pos="720"/>
          <w:tab w:val="left" w:pos="1170"/>
        </w:tabs>
        <w:jc w:val="both"/>
        <w:rPr>
          <w:spacing w:val="0"/>
        </w:rPr>
      </w:pPr>
      <w:r w:rsidRPr="00B27277">
        <w:rPr>
          <w:spacing w:val="0"/>
        </w:rPr>
        <w:t>Similar to other types</w:t>
      </w:r>
      <w:r w:rsidR="00B011ED" w:rsidRPr="00B27277">
        <w:rPr>
          <w:spacing w:val="0"/>
        </w:rPr>
        <w:t xml:space="preserve"> of vendor contracts, if the </w:t>
      </w:r>
      <w:r w:rsidRPr="00B27277">
        <w:rPr>
          <w:spacing w:val="0"/>
        </w:rPr>
        <w:t>PCA</w:t>
      </w:r>
      <w:r w:rsidR="00B011ED" w:rsidRPr="00B27277">
        <w:rPr>
          <w:spacing w:val="0"/>
        </w:rPr>
        <w:t>-HCCN</w:t>
      </w:r>
      <w:r w:rsidRPr="00B27277">
        <w:rPr>
          <w:spacing w:val="0"/>
        </w:rPr>
        <w:t xml:space="preserve"> intends to hire a public relations or media consultant, it should execute a written agreement that contains a clear and precise description of the services </w:t>
      </w:r>
      <w:r w:rsidR="00AB6174" w:rsidRPr="00B27277">
        <w:rPr>
          <w:spacing w:val="0"/>
        </w:rPr>
        <w:t xml:space="preserve">to be </w:t>
      </w:r>
      <w:r w:rsidR="00B011ED" w:rsidRPr="00B27277">
        <w:rPr>
          <w:spacing w:val="0"/>
        </w:rPr>
        <w:t xml:space="preserve">provided to the </w:t>
      </w:r>
      <w:r w:rsidRPr="00B27277">
        <w:rPr>
          <w:spacing w:val="0"/>
        </w:rPr>
        <w:t>PCA</w:t>
      </w:r>
      <w:r w:rsidR="00B011ED" w:rsidRPr="00B27277">
        <w:rPr>
          <w:spacing w:val="0"/>
        </w:rPr>
        <w:t>-HCCN</w:t>
      </w:r>
      <w:r w:rsidRPr="00B27277">
        <w:rPr>
          <w:spacing w:val="0"/>
        </w:rPr>
        <w:t xml:space="preserve"> and other key co</w:t>
      </w:r>
      <w:r w:rsidR="00B93573" w:rsidRPr="00B27277">
        <w:rPr>
          <w:spacing w:val="0"/>
        </w:rPr>
        <w:t>ntract elements.</w:t>
      </w:r>
      <w:r w:rsidR="00B011ED" w:rsidRPr="00B27277">
        <w:rPr>
          <w:spacing w:val="0"/>
        </w:rPr>
        <w:t xml:space="preserve"> </w:t>
      </w:r>
      <w:r w:rsidRPr="00B27277">
        <w:rPr>
          <w:spacing w:val="0"/>
        </w:rPr>
        <w:t>In particular, the contract should include provisions that:</w:t>
      </w:r>
    </w:p>
    <w:p w:rsidR="00F3189C" w:rsidRPr="00B27277" w:rsidRDefault="00F3189C" w:rsidP="00832765">
      <w:pPr>
        <w:tabs>
          <w:tab w:val="left" w:pos="-1080"/>
          <w:tab w:val="left" w:pos="-720"/>
          <w:tab w:val="left" w:pos="0"/>
          <w:tab w:val="left" w:pos="720"/>
          <w:tab w:val="left" w:pos="1170"/>
        </w:tabs>
        <w:jc w:val="both"/>
        <w:rPr>
          <w:spacing w:val="0"/>
        </w:rPr>
      </w:pPr>
    </w:p>
    <w:p w:rsidR="00F3189C" w:rsidRPr="00B27277" w:rsidRDefault="00F436DE" w:rsidP="005904E7">
      <w:pPr>
        <w:numPr>
          <w:ilvl w:val="0"/>
          <w:numId w:val="1"/>
        </w:numPr>
        <w:tabs>
          <w:tab w:val="clear" w:pos="720"/>
          <w:tab w:val="left" w:pos="-1080"/>
          <w:tab w:val="left" w:pos="-720"/>
          <w:tab w:val="left" w:pos="0"/>
          <w:tab w:val="left" w:pos="1170"/>
        </w:tabs>
        <w:ind w:left="1080"/>
        <w:jc w:val="both"/>
        <w:rPr>
          <w:spacing w:val="0"/>
        </w:rPr>
      </w:pPr>
      <w:r w:rsidRPr="00B27277">
        <w:rPr>
          <w:iCs/>
          <w:spacing w:val="0"/>
        </w:rPr>
        <w:t xml:space="preserve">Indicate that the </w:t>
      </w:r>
      <w:r w:rsidR="00F3189C" w:rsidRPr="00B27277">
        <w:rPr>
          <w:iCs/>
          <w:spacing w:val="0"/>
        </w:rPr>
        <w:t>PCA</w:t>
      </w:r>
      <w:r w:rsidRPr="00B27277">
        <w:rPr>
          <w:iCs/>
          <w:spacing w:val="0"/>
        </w:rPr>
        <w:t>-HCCN</w:t>
      </w:r>
      <w:r w:rsidR="00F3189C" w:rsidRPr="00B27277">
        <w:rPr>
          <w:iCs/>
          <w:spacing w:val="0"/>
        </w:rPr>
        <w:t xml:space="preserve"> owns property or materials created in the course of the engagement, such as advertising, videos, etc.</w:t>
      </w:r>
    </w:p>
    <w:p w:rsidR="00F3189C" w:rsidRPr="00B27277" w:rsidRDefault="00F3189C" w:rsidP="005904E7">
      <w:pPr>
        <w:tabs>
          <w:tab w:val="left" w:pos="-1080"/>
          <w:tab w:val="left" w:pos="-720"/>
          <w:tab w:val="left" w:pos="0"/>
          <w:tab w:val="left" w:pos="1170"/>
        </w:tabs>
        <w:ind w:left="1080"/>
        <w:jc w:val="both"/>
        <w:rPr>
          <w:spacing w:val="0"/>
        </w:rPr>
      </w:pPr>
    </w:p>
    <w:p w:rsidR="00F3189C" w:rsidRPr="00B27277" w:rsidRDefault="00F3189C" w:rsidP="005904E7">
      <w:pPr>
        <w:numPr>
          <w:ilvl w:val="0"/>
          <w:numId w:val="1"/>
        </w:numPr>
        <w:tabs>
          <w:tab w:val="clear" w:pos="720"/>
          <w:tab w:val="left" w:pos="-1080"/>
          <w:tab w:val="left" w:pos="-720"/>
          <w:tab w:val="left" w:pos="0"/>
          <w:tab w:val="left" w:pos="1170"/>
        </w:tabs>
        <w:ind w:left="1080"/>
        <w:jc w:val="both"/>
        <w:rPr>
          <w:spacing w:val="0"/>
        </w:rPr>
      </w:pPr>
      <w:r w:rsidRPr="00B27277">
        <w:rPr>
          <w:iCs/>
          <w:spacing w:val="0"/>
        </w:rPr>
        <w:t>If the consultant owns the copyright to the materials created during the engagement, indicate that he/she will assign the copyright to the R/SPCA.</w:t>
      </w:r>
    </w:p>
    <w:p w:rsidR="00F3189C" w:rsidRPr="00B27277" w:rsidRDefault="00F3189C" w:rsidP="005904E7">
      <w:pPr>
        <w:tabs>
          <w:tab w:val="left" w:pos="-1080"/>
          <w:tab w:val="left" w:pos="-720"/>
          <w:tab w:val="left" w:pos="0"/>
          <w:tab w:val="left" w:pos="1170"/>
        </w:tabs>
        <w:ind w:left="1080"/>
        <w:jc w:val="both"/>
        <w:rPr>
          <w:spacing w:val="0"/>
        </w:rPr>
      </w:pPr>
    </w:p>
    <w:p w:rsidR="00F3189C" w:rsidRPr="00B27277" w:rsidRDefault="00F436DE" w:rsidP="005904E7">
      <w:pPr>
        <w:numPr>
          <w:ilvl w:val="0"/>
          <w:numId w:val="1"/>
        </w:numPr>
        <w:tabs>
          <w:tab w:val="clear" w:pos="720"/>
          <w:tab w:val="left" w:pos="-1080"/>
          <w:tab w:val="left" w:pos="-720"/>
          <w:tab w:val="left" w:pos="0"/>
          <w:tab w:val="left" w:pos="1170"/>
        </w:tabs>
        <w:ind w:left="1080"/>
        <w:jc w:val="both"/>
        <w:rPr>
          <w:spacing w:val="0"/>
        </w:rPr>
      </w:pPr>
      <w:r w:rsidRPr="00B27277">
        <w:rPr>
          <w:iCs/>
          <w:spacing w:val="0"/>
        </w:rPr>
        <w:t xml:space="preserve">Require the </w:t>
      </w:r>
      <w:r w:rsidR="00F3189C" w:rsidRPr="00B27277">
        <w:rPr>
          <w:iCs/>
          <w:spacing w:val="0"/>
        </w:rPr>
        <w:t>PCA</w:t>
      </w:r>
      <w:r w:rsidRPr="00B27277">
        <w:rPr>
          <w:iCs/>
          <w:spacing w:val="0"/>
        </w:rPr>
        <w:t>-HCCN</w:t>
      </w:r>
      <w:r w:rsidR="00F3189C" w:rsidRPr="00B27277">
        <w:rPr>
          <w:iCs/>
          <w:spacing w:val="0"/>
        </w:rPr>
        <w:t>’s prior written approval of material published for a public relations/media campaign, e.g., solicitation letters, brochures, graphics, etc.</w:t>
      </w:r>
    </w:p>
    <w:p w:rsidR="00F3189C" w:rsidRPr="00B27277" w:rsidRDefault="00F3189C" w:rsidP="005904E7">
      <w:pPr>
        <w:tabs>
          <w:tab w:val="left" w:pos="-1080"/>
          <w:tab w:val="left" w:pos="-720"/>
          <w:tab w:val="left" w:pos="0"/>
          <w:tab w:val="left" w:pos="1170"/>
        </w:tabs>
        <w:ind w:left="1080"/>
        <w:jc w:val="both"/>
        <w:rPr>
          <w:spacing w:val="0"/>
        </w:rPr>
      </w:pPr>
    </w:p>
    <w:p w:rsidR="0000738F" w:rsidRPr="00B27277" w:rsidRDefault="00F3189C" w:rsidP="005904E7">
      <w:pPr>
        <w:numPr>
          <w:ilvl w:val="0"/>
          <w:numId w:val="1"/>
        </w:numPr>
        <w:tabs>
          <w:tab w:val="clear" w:pos="720"/>
          <w:tab w:val="left" w:pos="-1080"/>
          <w:tab w:val="left" w:pos="-720"/>
          <w:tab w:val="left" w:pos="0"/>
          <w:tab w:val="left" w:pos="1170"/>
        </w:tabs>
        <w:ind w:left="1080"/>
        <w:jc w:val="both"/>
        <w:rPr>
          <w:spacing w:val="0"/>
        </w:rPr>
      </w:pPr>
      <w:r w:rsidRPr="00B27277">
        <w:rPr>
          <w:spacing w:val="0"/>
        </w:rPr>
        <w:t>R</w:t>
      </w:r>
      <w:r w:rsidRPr="00B27277">
        <w:rPr>
          <w:iCs/>
          <w:spacing w:val="0"/>
        </w:rPr>
        <w:t>equire the</w:t>
      </w:r>
      <w:r w:rsidR="00F436DE" w:rsidRPr="00B27277">
        <w:rPr>
          <w:iCs/>
          <w:spacing w:val="0"/>
        </w:rPr>
        <w:t xml:space="preserve"> consultant to indemnify the </w:t>
      </w:r>
      <w:r w:rsidRPr="00B27277">
        <w:rPr>
          <w:iCs/>
          <w:spacing w:val="0"/>
        </w:rPr>
        <w:t>PCA</w:t>
      </w:r>
      <w:r w:rsidR="00F436DE" w:rsidRPr="00B27277">
        <w:rPr>
          <w:iCs/>
          <w:spacing w:val="0"/>
        </w:rPr>
        <w:t>-HCCN</w:t>
      </w:r>
      <w:r w:rsidRPr="00B27277">
        <w:rPr>
          <w:iCs/>
          <w:spacing w:val="0"/>
        </w:rPr>
        <w:t xml:space="preserve"> for any loss that it may incur on account of his or h</w:t>
      </w:r>
      <w:r w:rsidR="00F436DE" w:rsidRPr="00B27277">
        <w:rPr>
          <w:iCs/>
          <w:spacing w:val="0"/>
        </w:rPr>
        <w:t xml:space="preserve">er activity on behalf of the </w:t>
      </w:r>
      <w:r w:rsidRPr="00B27277">
        <w:rPr>
          <w:iCs/>
          <w:spacing w:val="0"/>
        </w:rPr>
        <w:t>PCA</w:t>
      </w:r>
      <w:r w:rsidR="00F436DE" w:rsidRPr="00B27277">
        <w:rPr>
          <w:iCs/>
          <w:spacing w:val="0"/>
        </w:rPr>
        <w:t>-HCCN</w:t>
      </w:r>
      <w:r w:rsidRPr="00B27277">
        <w:rPr>
          <w:iCs/>
          <w:spacing w:val="0"/>
        </w:rPr>
        <w:t>.</w:t>
      </w:r>
      <w:r w:rsidR="00B011ED" w:rsidRPr="00B27277">
        <w:rPr>
          <w:rStyle w:val="FootnoteReference"/>
          <w:iCs/>
          <w:spacing w:val="0"/>
        </w:rPr>
        <w:footnoteReference w:id="5"/>
      </w:r>
    </w:p>
    <w:sectPr w:rsidR="0000738F" w:rsidRPr="00B27277" w:rsidSect="00C55C3A">
      <w:headerReference w:type="default" r:id="rId11"/>
      <w:footerReference w:type="default" r:id="rId12"/>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73" w:rsidRDefault="00B93573" w:rsidP="00B93573">
      <w:r>
        <w:separator/>
      </w:r>
    </w:p>
  </w:endnote>
  <w:endnote w:type="continuationSeparator" w:id="0">
    <w:p w:rsidR="00B93573" w:rsidRDefault="00B93573" w:rsidP="00B9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73" w:rsidRPr="006B59DD" w:rsidRDefault="00B93573" w:rsidP="00B93573">
    <w:pPr>
      <w:pBdr>
        <w:bottom w:val="single" w:sz="12" w:space="0" w:color="auto"/>
      </w:pBdr>
      <w:rPr>
        <w:rFonts w:eastAsia="Calibri"/>
        <w:bCs w:val="0"/>
        <w:sz w:val="20"/>
        <w:szCs w:val="20"/>
      </w:rPr>
    </w:pPr>
  </w:p>
  <w:p w:rsidR="00B93573" w:rsidRPr="006B59DD" w:rsidRDefault="00B93573" w:rsidP="00B93573">
    <w:pPr>
      <w:tabs>
        <w:tab w:val="left" w:pos="2340"/>
      </w:tabs>
      <w:jc w:val="center"/>
      <w:rPr>
        <w:rFonts w:eastAsia="Calibri"/>
        <w:bCs w:val="0"/>
        <w:sz w:val="20"/>
        <w:szCs w:val="20"/>
      </w:rPr>
    </w:pPr>
  </w:p>
  <w:p w:rsidR="00B93573" w:rsidRPr="00C55C3A" w:rsidRDefault="00755B28" w:rsidP="00B93573">
    <w:pPr>
      <w:tabs>
        <w:tab w:val="left" w:pos="2340"/>
      </w:tabs>
      <w:jc w:val="center"/>
      <w:rPr>
        <w:rFonts w:eastAsia="Calibri"/>
        <w:bCs w:val="0"/>
        <w:spacing w:val="0"/>
        <w:sz w:val="20"/>
        <w:szCs w:val="20"/>
      </w:rPr>
    </w:pPr>
    <w:r w:rsidRPr="00C55C3A">
      <w:rPr>
        <w:rFonts w:eastAsia="Calibri"/>
        <w:spacing w:val="0"/>
        <w:sz w:val="20"/>
        <w:szCs w:val="20"/>
      </w:rPr>
      <w:t>The Corporate</w:t>
    </w:r>
    <w:r w:rsidR="00B93573" w:rsidRPr="00C55C3A">
      <w:rPr>
        <w:rFonts w:eastAsia="Calibri"/>
        <w:spacing w:val="0"/>
        <w:sz w:val="20"/>
        <w:szCs w:val="20"/>
      </w:rPr>
      <w:t xml:space="preserve"> Compliance Toolkit</w:t>
    </w:r>
    <w:r w:rsidRPr="00C55C3A">
      <w:rPr>
        <w:rFonts w:eastAsia="Calibri"/>
        <w:spacing w:val="0"/>
        <w:sz w:val="20"/>
        <w:szCs w:val="20"/>
      </w:rPr>
      <w:t xml:space="preserve"> for PCAs-HCCNs</w:t>
    </w:r>
  </w:p>
  <w:p w:rsidR="00B93573" w:rsidRPr="00C55C3A" w:rsidRDefault="00755B28" w:rsidP="00B93573">
    <w:pPr>
      <w:tabs>
        <w:tab w:val="left" w:pos="2340"/>
      </w:tabs>
      <w:jc w:val="center"/>
      <w:rPr>
        <w:rFonts w:eastAsia="Calibri"/>
        <w:bCs w:val="0"/>
        <w:spacing w:val="0"/>
        <w:sz w:val="20"/>
        <w:szCs w:val="20"/>
        <w:lang w:val="de-DE"/>
      </w:rPr>
    </w:pPr>
    <w:r w:rsidRPr="00C55C3A">
      <w:rPr>
        <w:rFonts w:eastAsia="Calibri"/>
        <w:spacing w:val="0"/>
        <w:sz w:val="20"/>
        <w:szCs w:val="20"/>
        <w:lang w:val="de-DE"/>
      </w:rPr>
      <w:t>© 2015</w:t>
    </w:r>
    <w:r w:rsidR="00B93573" w:rsidRPr="00C55C3A">
      <w:rPr>
        <w:rFonts w:eastAsia="Calibri"/>
        <w:spacing w:val="0"/>
        <w:sz w:val="20"/>
        <w:szCs w:val="20"/>
        <w:lang w:val="de-DE"/>
      </w:rPr>
      <w:t xml:space="preserve"> </w:t>
    </w:r>
    <w:r w:rsidR="00B93573" w:rsidRPr="00C55C3A">
      <w:rPr>
        <w:rFonts w:eastAsia="Calibri"/>
        <w:spacing w:val="0"/>
        <w:sz w:val="20"/>
        <w:szCs w:val="20"/>
      </w:rPr>
      <w:t>National Association of Community Health Centers, Inc.</w:t>
    </w:r>
  </w:p>
  <w:p w:rsidR="00B93573" w:rsidRPr="006B59DD" w:rsidRDefault="00B93573" w:rsidP="00B93573">
    <w:pPr>
      <w:tabs>
        <w:tab w:val="left" w:pos="2340"/>
      </w:tabs>
      <w:jc w:val="center"/>
      <w:rPr>
        <w:rFonts w:eastAsia="Calibri"/>
        <w:bCs w:val="0"/>
        <w:sz w:val="20"/>
        <w:szCs w:val="20"/>
        <w:lang w:val="de-DE"/>
      </w:rPr>
    </w:pPr>
    <w:r w:rsidRPr="00C55C3A">
      <w:rPr>
        <w:rFonts w:eastAsia="Calibri"/>
        <w:spacing w:val="0"/>
        <w:sz w:val="20"/>
        <w:szCs w:val="20"/>
        <w:lang w:val="de-DE"/>
      </w:rPr>
      <w:t>and Feldesman Tucker Leifer Fidell LLP</w:t>
    </w:r>
  </w:p>
  <w:p w:rsidR="00B93573" w:rsidRPr="006B59DD" w:rsidRDefault="00B93573" w:rsidP="00B93573">
    <w:pPr>
      <w:tabs>
        <w:tab w:val="left" w:pos="2340"/>
      </w:tabs>
      <w:jc w:val="center"/>
      <w:rPr>
        <w:rFonts w:eastAsia="Calibri"/>
        <w:bCs w:val="0"/>
        <w:sz w:val="20"/>
        <w:szCs w:val="20"/>
      </w:rPr>
    </w:pPr>
  </w:p>
  <w:p w:rsidR="00B93573" w:rsidRPr="00B93573" w:rsidRDefault="00B93573" w:rsidP="00B93573">
    <w:pPr>
      <w:tabs>
        <w:tab w:val="left" w:pos="2340"/>
      </w:tabs>
      <w:jc w:val="center"/>
      <w:rPr>
        <w:rFonts w:eastAsia="Calibri"/>
        <w:sz w:val="20"/>
        <w:szCs w:val="20"/>
        <w:lang w:val="de-DE"/>
      </w:rPr>
    </w:pPr>
    <w:r w:rsidRPr="006B59DD">
      <w:rPr>
        <w:rFonts w:eastAsia="Calibri"/>
        <w:bCs w:val="0"/>
        <w:sz w:val="20"/>
        <w:szCs w:val="20"/>
      </w:rPr>
      <w:fldChar w:fldCharType="begin"/>
    </w:r>
    <w:r w:rsidRPr="006B59DD">
      <w:rPr>
        <w:rFonts w:eastAsia="Calibri"/>
        <w:sz w:val="20"/>
        <w:szCs w:val="20"/>
      </w:rPr>
      <w:instrText xml:space="preserve"> PAGE </w:instrText>
    </w:r>
    <w:r w:rsidRPr="006B59DD">
      <w:rPr>
        <w:rFonts w:eastAsia="Calibri"/>
        <w:bCs w:val="0"/>
        <w:sz w:val="20"/>
        <w:szCs w:val="20"/>
      </w:rPr>
      <w:fldChar w:fldCharType="separate"/>
    </w:r>
    <w:r w:rsidR="00EB3407">
      <w:rPr>
        <w:rFonts w:eastAsia="Calibri"/>
        <w:noProof/>
        <w:sz w:val="20"/>
        <w:szCs w:val="20"/>
      </w:rPr>
      <w:t>2</w:t>
    </w:r>
    <w:r w:rsidRPr="006B59DD">
      <w:rPr>
        <w:rFonts w:eastAsia="Calibri"/>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73" w:rsidRDefault="00B93573" w:rsidP="00B93573">
      <w:r>
        <w:separator/>
      </w:r>
    </w:p>
  </w:footnote>
  <w:footnote w:type="continuationSeparator" w:id="0">
    <w:p w:rsidR="00B93573" w:rsidRDefault="00B93573" w:rsidP="00B93573">
      <w:r>
        <w:continuationSeparator/>
      </w:r>
    </w:p>
  </w:footnote>
  <w:footnote w:id="1">
    <w:p w:rsidR="002460FC" w:rsidRPr="009F08B6" w:rsidRDefault="002460FC" w:rsidP="00C55C3A">
      <w:pPr>
        <w:pStyle w:val="FootnoteText"/>
        <w:ind w:left="360" w:hanging="360"/>
        <w:rPr>
          <w:spacing w:val="0"/>
        </w:rPr>
      </w:pPr>
      <w:r>
        <w:rPr>
          <w:rStyle w:val="FootnoteReference"/>
        </w:rPr>
        <w:footnoteRef/>
      </w:r>
      <w:r>
        <w:t xml:space="preserve"> </w:t>
      </w:r>
      <w:r w:rsidR="00C55C3A">
        <w:tab/>
      </w:r>
      <w:r w:rsidR="00F0795E" w:rsidRPr="009F08B6">
        <w:rPr>
          <w:spacing w:val="0"/>
        </w:rPr>
        <w:t xml:space="preserve">The Authors recommend obtaining testimonial and personal information directly from the patient, as opposed to obtaining such information from the </w:t>
      </w:r>
      <w:bookmarkStart w:id="0" w:name="_GoBack"/>
      <w:r w:rsidR="00F0795E" w:rsidRPr="009F08B6">
        <w:rPr>
          <w:spacing w:val="0"/>
        </w:rPr>
        <w:t>health center</w:t>
      </w:r>
      <w:bookmarkEnd w:id="0"/>
      <w:r w:rsidR="00F0795E" w:rsidRPr="009F08B6">
        <w:rPr>
          <w:spacing w:val="0"/>
        </w:rPr>
        <w:t xml:space="preserve"> on the patient’s behalf.</w:t>
      </w:r>
    </w:p>
  </w:footnote>
  <w:footnote w:id="2">
    <w:p w:rsidR="00B17970" w:rsidRPr="009F08B6" w:rsidRDefault="00B17970" w:rsidP="00C55C3A">
      <w:pPr>
        <w:pStyle w:val="FootnoteText"/>
        <w:ind w:left="360" w:hanging="360"/>
        <w:rPr>
          <w:spacing w:val="0"/>
        </w:rPr>
      </w:pPr>
      <w:r w:rsidRPr="009F08B6">
        <w:rPr>
          <w:rStyle w:val="FootnoteReference"/>
          <w:spacing w:val="0"/>
        </w:rPr>
        <w:footnoteRef/>
      </w:r>
      <w:r w:rsidRPr="009F08B6">
        <w:rPr>
          <w:spacing w:val="0"/>
        </w:rPr>
        <w:t xml:space="preserve"> </w:t>
      </w:r>
      <w:r w:rsidR="00C55C3A" w:rsidRPr="009F08B6">
        <w:rPr>
          <w:spacing w:val="0"/>
        </w:rPr>
        <w:tab/>
      </w:r>
      <w:r w:rsidRPr="009F08B6">
        <w:rPr>
          <w:spacing w:val="0"/>
        </w:rPr>
        <w:t>17 U.S.C. §101.</w:t>
      </w:r>
    </w:p>
  </w:footnote>
  <w:footnote w:id="3">
    <w:p w:rsidR="00B17970" w:rsidRPr="009F08B6" w:rsidRDefault="00B17970" w:rsidP="00C55C3A">
      <w:pPr>
        <w:pStyle w:val="FootnoteText"/>
        <w:ind w:left="360" w:hanging="360"/>
        <w:rPr>
          <w:spacing w:val="0"/>
        </w:rPr>
      </w:pPr>
      <w:r w:rsidRPr="009F08B6">
        <w:rPr>
          <w:rStyle w:val="FootnoteReference"/>
          <w:spacing w:val="0"/>
        </w:rPr>
        <w:footnoteRef/>
      </w:r>
      <w:r w:rsidRPr="009F08B6">
        <w:rPr>
          <w:spacing w:val="0"/>
        </w:rPr>
        <w:t xml:space="preserve"> </w:t>
      </w:r>
      <w:r w:rsidR="00C55C3A" w:rsidRPr="009F08B6">
        <w:rPr>
          <w:spacing w:val="0"/>
        </w:rPr>
        <w:tab/>
      </w:r>
      <w:r w:rsidRPr="009F08B6">
        <w:rPr>
          <w:spacing w:val="0"/>
          <w:u w:val="single"/>
        </w:rPr>
        <w:t>See</w:t>
      </w:r>
      <w:r w:rsidRPr="009F08B6">
        <w:rPr>
          <w:spacing w:val="0"/>
        </w:rPr>
        <w:t xml:space="preserve"> </w:t>
      </w:r>
      <w:hyperlink r:id="rId1" w:history="1">
        <w:r w:rsidRPr="009F08B6">
          <w:rPr>
            <w:rStyle w:val="Hyperlink"/>
            <w:spacing w:val="0"/>
          </w:rPr>
          <w:t>Training and technical assistance</w:t>
        </w:r>
      </w:hyperlink>
      <w:r w:rsidRPr="009F08B6">
        <w:rPr>
          <w:rStyle w:val="Hyperlink"/>
          <w:spacing w:val="0"/>
        </w:rPr>
        <w:t>: Introductory guidance</w:t>
      </w:r>
      <w:r w:rsidRPr="009F08B6">
        <w:rPr>
          <w:spacing w:val="0"/>
        </w:rPr>
        <w:t>.</w:t>
      </w:r>
    </w:p>
  </w:footnote>
  <w:footnote w:id="4">
    <w:p w:rsidR="003B5D4A" w:rsidRPr="009F08B6" w:rsidRDefault="003B5D4A" w:rsidP="00C55C3A">
      <w:pPr>
        <w:ind w:left="360" w:hanging="360"/>
        <w:rPr>
          <w:color w:val="000000"/>
          <w:spacing w:val="0"/>
          <w:sz w:val="20"/>
          <w:szCs w:val="20"/>
        </w:rPr>
      </w:pPr>
      <w:r w:rsidRPr="009F08B6">
        <w:rPr>
          <w:rStyle w:val="FootnoteReference"/>
          <w:spacing w:val="0"/>
        </w:rPr>
        <w:footnoteRef/>
      </w:r>
      <w:r w:rsidRPr="009F08B6">
        <w:rPr>
          <w:spacing w:val="0"/>
        </w:rPr>
        <w:t xml:space="preserve"> </w:t>
      </w:r>
      <w:r w:rsidR="00C55C3A" w:rsidRPr="009F08B6">
        <w:rPr>
          <w:spacing w:val="0"/>
        </w:rPr>
        <w:tab/>
      </w:r>
      <w:r w:rsidRPr="009F08B6">
        <w:rPr>
          <w:color w:val="000000"/>
          <w:spacing w:val="0"/>
          <w:sz w:val="20"/>
          <w:szCs w:val="20"/>
        </w:rPr>
        <w:t>The Authors of these materials include attorneys at the law firm of Feldesman Tucker Leifer Fidell LLP. The advice and recommendations consist of general guidance based on federal law and regulations, and do not necessarily apply to all R/SPCAs under all facts and circumstances. Further, these materials do not replace, and are not a substitute for, legal advice from qualified legal counsel.</w:t>
      </w:r>
    </w:p>
  </w:footnote>
  <w:footnote w:id="5">
    <w:p w:rsidR="00B011ED" w:rsidRDefault="00B011ED" w:rsidP="00C55C3A">
      <w:pPr>
        <w:pStyle w:val="FootnoteText"/>
        <w:ind w:left="360" w:hanging="360"/>
      </w:pPr>
      <w:r>
        <w:rPr>
          <w:rStyle w:val="FootnoteReference"/>
        </w:rPr>
        <w:footnoteRef/>
      </w:r>
      <w:r>
        <w:t xml:space="preserve"> </w:t>
      </w:r>
      <w:r w:rsidR="00C55C3A">
        <w:tab/>
      </w:r>
      <w:r w:rsidRPr="003B5D4A">
        <w:rPr>
          <w:u w:val="single"/>
        </w:rPr>
        <w:t>See</w:t>
      </w:r>
      <w:r w:rsidR="00F436DE">
        <w:rPr>
          <w:u w:val="single"/>
        </w:rPr>
        <w:t xml:space="preserve"> also</w:t>
      </w:r>
      <w:r w:rsidRPr="00FC505A">
        <w:t xml:space="preserve"> </w:t>
      </w:r>
      <w:hyperlink r:id="rId2" w:history="1">
        <w:r>
          <w:rPr>
            <w:rStyle w:val="Hyperlink"/>
          </w:rPr>
          <w:t>Federal procurement p</w:t>
        </w:r>
        <w:r w:rsidRPr="00FC505A">
          <w:rPr>
            <w:rStyle w:val="Hyperlink"/>
          </w:rPr>
          <w:t>rocedures</w:t>
        </w:r>
      </w:hyperlink>
      <w:r>
        <w:rPr>
          <w:rStyle w:val="Hyperlink"/>
        </w:rPr>
        <w:t>: Introductory guidance</w:t>
      </w:r>
      <w:r w:rsidRPr="00FC505A">
        <w:t xml:space="preserve"> and </w:t>
      </w:r>
      <w:hyperlink r:id="rId3" w:history="1">
        <w:r w:rsidRPr="00FC505A">
          <w:rPr>
            <w:rStyle w:val="Hyperlink"/>
          </w:rPr>
          <w:t xml:space="preserve"> Federal Anti-Ki</w:t>
        </w:r>
        <w:r>
          <w:rPr>
            <w:rStyle w:val="Hyperlink"/>
          </w:rPr>
          <w:t>ckback Law and common contract t</w:t>
        </w:r>
        <w:r w:rsidRPr="00FC505A">
          <w:rPr>
            <w:rStyle w:val="Hyperlink"/>
          </w:rPr>
          <w:t>erms</w:t>
        </w:r>
      </w:hyperlink>
      <w:r>
        <w:rPr>
          <w:rStyle w:val="Hyperlink"/>
        </w:rPr>
        <w:t>: Introductory guidance</w:t>
      </w:r>
      <w:r w:rsidRPr="00FC505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73" w:rsidRPr="00014E7E" w:rsidRDefault="00B93573" w:rsidP="00B93573">
    <w:pPr>
      <w:jc w:val="center"/>
      <w:rPr>
        <w:sz w:val="20"/>
      </w:rPr>
    </w:pPr>
    <w:r w:rsidRPr="00014E7E">
      <w:rPr>
        <w:sz w:val="20"/>
      </w:rPr>
      <w:t>V</w:t>
    </w:r>
    <w:r w:rsidR="00755B28">
      <w:rPr>
        <w:sz w:val="20"/>
      </w:rPr>
      <w:t xml:space="preserve">olume II: </w:t>
    </w:r>
    <w:r w:rsidRPr="00014E7E">
      <w:rPr>
        <w:sz w:val="20"/>
      </w:rPr>
      <w:t>PCA</w:t>
    </w:r>
    <w:r w:rsidR="00755B28">
      <w:rPr>
        <w:sz w:val="20"/>
      </w:rPr>
      <w:t>-HCCN</w:t>
    </w:r>
    <w:r w:rsidRPr="00014E7E">
      <w:rPr>
        <w:sz w:val="20"/>
      </w:rPr>
      <w:t xml:space="preserve"> Risk Areas</w:t>
    </w:r>
  </w:p>
  <w:p w:rsidR="00B93573" w:rsidRPr="00014E7E" w:rsidRDefault="00B93573" w:rsidP="00B93573">
    <w:pPr>
      <w:pBdr>
        <w:bottom w:val="single" w:sz="12" w:space="0" w:color="auto"/>
      </w:pBdr>
      <w:jc w:val="center"/>
      <w:rPr>
        <w:sz w:val="20"/>
      </w:rPr>
    </w:pPr>
    <w:r>
      <w:rPr>
        <w:sz w:val="20"/>
      </w:rPr>
      <w:t>Member Services</w:t>
    </w:r>
  </w:p>
  <w:p w:rsidR="00B93573" w:rsidRPr="00014E7E" w:rsidRDefault="00B93573" w:rsidP="00B93573">
    <w:pPr>
      <w:pBdr>
        <w:bottom w:val="single" w:sz="12" w:space="0" w:color="auto"/>
      </w:pBdr>
      <w:jc w:val="center"/>
      <w:rPr>
        <w:sz w:val="20"/>
      </w:rPr>
    </w:pPr>
  </w:p>
  <w:p w:rsidR="00B93573" w:rsidRDefault="00B93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EB1"/>
    <w:multiLevelType w:val="hybridMultilevel"/>
    <w:tmpl w:val="BE24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86A7C"/>
    <w:multiLevelType w:val="hybridMultilevel"/>
    <w:tmpl w:val="EE3AC1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6301702"/>
    <w:multiLevelType w:val="hybridMultilevel"/>
    <w:tmpl w:val="C0A4E4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461CFC"/>
    <w:multiLevelType w:val="hybridMultilevel"/>
    <w:tmpl w:val="2F58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9C"/>
    <w:rsid w:val="0000738F"/>
    <w:rsid w:val="000B4285"/>
    <w:rsid w:val="00126CA3"/>
    <w:rsid w:val="00186080"/>
    <w:rsid w:val="001B138B"/>
    <w:rsid w:val="00235D7B"/>
    <w:rsid w:val="002460FC"/>
    <w:rsid w:val="002638BD"/>
    <w:rsid w:val="002C24F0"/>
    <w:rsid w:val="00324D3D"/>
    <w:rsid w:val="0036018B"/>
    <w:rsid w:val="003932C9"/>
    <w:rsid w:val="003B5D4A"/>
    <w:rsid w:val="00402749"/>
    <w:rsid w:val="00425550"/>
    <w:rsid w:val="004305A6"/>
    <w:rsid w:val="00433377"/>
    <w:rsid w:val="0049452C"/>
    <w:rsid w:val="00514A69"/>
    <w:rsid w:val="00584308"/>
    <w:rsid w:val="00584D18"/>
    <w:rsid w:val="005904E7"/>
    <w:rsid w:val="005C0006"/>
    <w:rsid w:val="005F1106"/>
    <w:rsid w:val="006158B9"/>
    <w:rsid w:val="00625064"/>
    <w:rsid w:val="006B17FF"/>
    <w:rsid w:val="00755B28"/>
    <w:rsid w:val="007625CD"/>
    <w:rsid w:val="007B28C8"/>
    <w:rsid w:val="007F6206"/>
    <w:rsid w:val="00832765"/>
    <w:rsid w:val="00842FF2"/>
    <w:rsid w:val="008623B1"/>
    <w:rsid w:val="00882DF5"/>
    <w:rsid w:val="008A6B24"/>
    <w:rsid w:val="008A7438"/>
    <w:rsid w:val="008E2C8B"/>
    <w:rsid w:val="00914D44"/>
    <w:rsid w:val="00920444"/>
    <w:rsid w:val="00947EDD"/>
    <w:rsid w:val="00957401"/>
    <w:rsid w:val="009A0913"/>
    <w:rsid w:val="009C1C73"/>
    <w:rsid w:val="009C259D"/>
    <w:rsid w:val="009F08B6"/>
    <w:rsid w:val="00A62C4F"/>
    <w:rsid w:val="00AA6435"/>
    <w:rsid w:val="00AB6174"/>
    <w:rsid w:val="00B011ED"/>
    <w:rsid w:val="00B17970"/>
    <w:rsid w:val="00B27277"/>
    <w:rsid w:val="00B93573"/>
    <w:rsid w:val="00BD23E9"/>
    <w:rsid w:val="00C55C3A"/>
    <w:rsid w:val="00C74DB7"/>
    <w:rsid w:val="00D02674"/>
    <w:rsid w:val="00D04FC1"/>
    <w:rsid w:val="00D21255"/>
    <w:rsid w:val="00D503B5"/>
    <w:rsid w:val="00DA5DD4"/>
    <w:rsid w:val="00DB2F67"/>
    <w:rsid w:val="00E350E0"/>
    <w:rsid w:val="00E836F2"/>
    <w:rsid w:val="00EB3407"/>
    <w:rsid w:val="00F0795E"/>
    <w:rsid w:val="00F3189C"/>
    <w:rsid w:val="00F436DE"/>
    <w:rsid w:val="00F75DEE"/>
    <w:rsid w:val="00F766F7"/>
    <w:rsid w:val="00FB4A1B"/>
    <w:rsid w:val="00FC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9C"/>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Header">
    <w:name w:val="header"/>
    <w:basedOn w:val="Normal"/>
    <w:link w:val="HeaderChar"/>
    <w:uiPriority w:val="99"/>
    <w:unhideWhenUsed/>
    <w:rsid w:val="00B93573"/>
    <w:pPr>
      <w:tabs>
        <w:tab w:val="center" w:pos="4680"/>
        <w:tab w:val="right" w:pos="9360"/>
      </w:tabs>
    </w:pPr>
  </w:style>
  <w:style w:type="character" w:customStyle="1" w:styleId="HeaderChar">
    <w:name w:val="Header Char"/>
    <w:basedOn w:val="DefaultParagraphFont"/>
    <w:link w:val="Header"/>
    <w:uiPriority w:val="99"/>
    <w:rsid w:val="00B93573"/>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B93573"/>
    <w:pPr>
      <w:tabs>
        <w:tab w:val="center" w:pos="4680"/>
        <w:tab w:val="right" w:pos="9360"/>
      </w:tabs>
    </w:pPr>
  </w:style>
  <w:style w:type="character" w:customStyle="1" w:styleId="FooterChar">
    <w:name w:val="Footer Char"/>
    <w:basedOn w:val="DefaultParagraphFont"/>
    <w:link w:val="Footer"/>
    <w:uiPriority w:val="99"/>
    <w:rsid w:val="00B93573"/>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B93573"/>
    <w:rPr>
      <w:rFonts w:ascii="Tahoma" w:hAnsi="Tahoma" w:cs="Tahoma"/>
      <w:sz w:val="16"/>
      <w:szCs w:val="16"/>
    </w:rPr>
  </w:style>
  <w:style w:type="character" w:customStyle="1" w:styleId="BalloonTextChar">
    <w:name w:val="Balloon Text Char"/>
    <w:basedOn w:val="DefaultParagraphFont"/>
    <w:link w:val="BalloonText"/>
    <w:uiPriority w:val="99"/>
    <w:semiHidden/>
    <w:rsid w:val="00B93573"/>
    <w:rPr>
      <w:rFonts w:ascii="Tahoma" w:eastAsia="Times New Roman" w:hAnsi="Tahoma" w:cs="Tahoma"/>
      <w:bCs/>
      <w:spacing w:val="-3"/>
      <w:sz w:val="16"/>
      <w:szCs w:val="16"/>
    </w:rPr>
  </w:style>
  <w:style w:type="character" w:styleId="Hyperlink">
    <w:name w:val="Hyperlink"/>
    <w:basedOn w:val="DefaultParagraphFont"/>
    <w:uiPriority w:val="99"/>
    <w:unhideWhenUsed/>
    <w:rsid w:val="00625064"/>
    <w:rPr>
      <w:color w:val="0000FF" w:themeColor="hyperlink"/>
      <w:u w:val="single"/>
    </w:rPr>
  </w:style>
  <w:style w:type="paragraph" w:styleId="FootnoteText">
    <w:name w:val="footnote text"/>
    <w:basedOn w:val="Normal"/>
    <w:link w:val="FootnoteTextChar"/>
    <w:uiPriority w:val="99"/>
    <w:semiHidden/>
    <w:unhideWhenUsed/>
    <w:rsid w:val="003B5D4A"/>
    <w:rPr>
      <w:sz w:val="20"/>
      <w:szCs w:val="20"/>
    </w:rPr>
  </w:style>
  <w:style w:type="character" w:customStyle="1" w:styleId="FootnoteTextChar">
    <w:name w:val="Footnote Text Char"/>
    <w:basedOn w:val="DefaultParagraphFont"/>
    <w:link w:val="FootnoteText"/>
    <w:uiPriority w:val="99"/>
    <w:semiHidden/>
    <w:rsid w:val="003B5D4A"/>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3B5D4A"/>
    <w:rPr>
      <w:vertAlign w:val="superscript"/>
    </w:rPr>
  </w:style>
  <w:style w:type="paragraph" w:styleId="ListParagraph">
    <w:name w:val="List Paragraph"/>
    <w:basedOn w:val="Normal"/>
    <w:uiPriority w:val="34"/>
    <w:qFormat/>
    <w:rsid w:val="00F43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9C"/>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Header">
    <w:name w:val="header"/>
    <w:basedOn w:val="Normal"/>
    <w:link w:val="HeaderChar"/>
    <w:uiPriority w:val="99"/>
    <w:unhideWhenUsed/>
    <w:rsid w:val="00B93573"/>
    <w:pPr>
      <w:tabs>
        <w:tab w:val="center" w:pos="4680"/>
        <w:tab w:val="right" w:pos="9360"/>
      </w:tabs>
    </w:pPr>
  </w:style>
  <w:style w:type="character" w:customStyle="1" w:styleId="HeaderChar">
    <w:name w:val="Header Char"/>
    <w:basedOn w:val="DefaultParagraphFont"/>
    <w:link w:val="Header"/>
    <w:uiPriority w:val="99"/>
    <w:rsid w:val="00B93573"/>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B93573"/>
    <w:pPr>
      <w:tabs>
        <w:tab w:val="center" w:pos="4680"/>
        <w:tab w:val="right" w:pos="9360"/>
      </w:tabs>
    </w:pPr>
  </w:style>
  <w:style w:type="character" w:customStyle="1" w:styleId="FooterChar">
    <w:name w:val="Footer Char"/>
    <w:basedOn w:val="DefaultParagraphFont"/>
    <w:link w:val="Footer"/>
    <w:uiPriority w:val="99"/>
    <w:rsid w:val="00B93573"/>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B93573"/>
    <w:rPr>
      <w:rFonts w:ascii="Tahoma" w:hAnsi="Tahoma" w:cs="Tahoma"/>
      <w:sz w:val="16"/>
      <w:szCs w:val="16"/>
    </w:rPr>
  </w:style>
  <w:style w:type="character" w:customStyle="1" w:styleId="BalloonTextChar">
    <w:name w:val="Balloon Text Char"/>
    <w:basedOn w:val="DefaultParagraphFont"/>
    <w:link w:val="BalloonText"/>
    <w:uiPriority w:val="99"/>
    <w:semiHidden/>
    <w:rsid w:val="00B93573"/>
    <w:rPr>
      <w:rFonts w:ascii="Tahoma" w:eastAsia="Times New Roman" w:hAnsi="Tahoma" w:cs="Tahoma"/>
      <w:bCs/>
      <w:spacing w:val="-3"/>
      <w:sz w:val="16"/>
      <w:szCs w:val="16"/>
    </w:rPr>
  </w:style>
  <w:style w:type="character" w:styleId="Hyperlink">
    <w:name w:val="Hyperlink"/>
    <w:basedOn w:val="DefaultParagraphFont"/>
    <w:uiPriority w:val="99"/>
    <w:unhideWhenUsed/>
    <w:rsid w:val="00625064"/>
    <w:rPr>
      <w:color w:val="0000FF" w:themeColor="hyperlink"/>
      <w:u w:val="single"/>
    </w:rPr>
  </w:style>
  <w:style w:type="paragraph" w:styleId="FootnoteText">
    <w:name w:val="footnote text"/>
    <w:basedOn w:val="Normal"/>
    <w:link w:val="FootnoteTextChar"/>
    <w:uiPriority w:val="99"/>
    <w:semiHidden/>
    <w:unhideWhenUsed/>
    <w:rsid w:val="003B5D4A"/>
    <w:rPr>
      <w:sz w:val="20"/>
      <w:szCs w:val="20"/>
    </w:rPr>
  </w:style>
  <w:style w:type="character" w:customStyle="1" w:styleId="FootnoteTextChar">
    <w:name w:val="Footnote Text Char"/>
    <w:basedOn w:val="DefaultParagraphFont"/>
    <w:link w:val="FootnoteText"/>
    <w:uiPriority w:val="99"/>
    <w:semiHidden/>
    <w:rsid w:val="003B5D4A"/>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3B5D4A"/>
    <w:rPr>
      <w:vertAlign w:val="superscript"/>
    </w:rPr>
  </w:style>
  <w:style w:type="paragraph" w:styleId="ListParagraph">
    <w:name w:val="List Paragraph"/>
    <w:basedOn w:val="Normal"/>
    <w:uiPriority w:val="34"/>
    <w:qFormat/>
    <w:rsid w:val="00F4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althcentercompliance.com/subscriber/pca-toolkit/volume-2/873" TargetMode="External"/><Relationship Id="rId4" Type="http://schemas.microsoft.com/office/2007/relationships/stylesWithEffects" Target="stylesWithEffects.xml"/><Relationship Id="rId9" Type="http://schemas.openxmlformats.org/officeDocument/2006/relationships/hyperlink" Target="http://www.healthcentercompliance.com/subscriber/pca-toolkit/volume-2/87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centercompliance.com/subscriber/pca-toolkit/volume-2/837" TargetMode="External"/><Relationship Id="rId2" Type="http://schemas.openxmlformats.org/officeDocument/2006/relationships/hyperlink" Target="http://www.healthcentercompliance.com/subscriber/pca-toolkit/volume-2/836" TargetMode="External"/><Relationship Id="rId1" Type="http://schemas.openxmlformats.org/officeDocument/2006/relationships/hyperlink" Target="http://www.healthcentercompliance.com/subscriber/pca-toolkit/volume-2/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F95E-A9BE-417E-AB13-CBD13FC1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2015-11-12T15:18:00Z</cp:lastPrinted>
  <dcterms:created xsi:type="dcterms:W3CDTF">2015-11-12T15:12:00Z</dcterms:created>
  <dcterms:modified xsi:type="dcterms:W3CDTF">2015-11-12T15:20:00Z</dcterms:modified>
</cp:coreProperties>
</file>