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7222" w14:textId="77777777" w:rsidR="00B32815" w:rsidRPr="007D46FC" w:rsidRDefault="00A856E7" w:rsidP="00FF3945">
      <w:pPr>
        <w:pStyle w:val="Heading6"/>
        <w:rPr>
          <w:rFonts w:ascii="Times New Roman Bold" w:hAnsi="Times New Roman Bold"/>
          <w:spacing w:val="0"/>
          <w:sz w:val="32"/>
          <w:szCs w:val="32"/>
        </w:rPr>
      </w:pPr>
      <w:r w:rsidRPr="007D46FC">
        <w:rPr>
          <w:rFonts w:ascii="Times New Roman Bold" w:hAnsi="Times New Roman Bold"/>
          <w:spacing w:val="0"/>
          <w:sz w:val="32"/>
          <w:szCs w:val="32"/>
        </w:rPr>
        <w:t>Procuring Non-Audit Services from the Audit Firm</w:t>
      </w:r>
      <w:r w:rsidR="00B32815" w:rsidRPr="007D46FC">
        <w:rPr>
          <w:rFonts w:ascii="Times New Roman Bold" w:hAnsi="Times New Roman Bold"/>
          <w:spacing w:val="0"/>
          <w:sz w:val="32"/>
          <w:szCs w:val="32"/>
        </w:rPr>
        <w:t>:</w:t>
      </w:r>
    </w:p>
    <w:p w14:paraId="38476688" w14:textId="77777777" w:rsidR="00AD741A" w:rsidRPr="007D46FC" w:rsidRDefault="00B32815" w:rsidP="00FF3945">
      <w:pPr>
        <w:pStyle w:val="Heading6"/>
        <w:rPr>
          <w:spacing w:val="0"/>
          <w:sz w:val="32"/>
          <w:szCs w:val="32"/>
        </w:rPr>
      </w:pPr>
      <w:r w:rsidRPr="007D46FC">
        <w:rPr>
          <w:rFonts w:ascii="Times New Roman Bold" w:hAnsi="Times New Roman Bold"/>
          <w:spacing w:val="0"/>
          <w:sz w:val="32"/>
          <w:szCs w:val="32"/>
        </w:rPr>
        <w:t>Sample Policy and Procedure</w:t>
      </w:r>
      <w:r w:rsidR="00C7721D" w:rsidRPr="007D46FC">
        <w:rPr>
          <w:rStyle w:val="FootnoteReference"/>
          <w:spacing w:val="0"/>
        </w:rPr>
        <w:footnoteReference w:id="1"/>
      </w:r>
    </w:p>
    <w:p w14:paraId="263543A1" w14:textId="77777777" w:rsidR="00A856E7" w:rsidRPr="007D46FC" w:rsidRDefault="00A856E7" w:rsidP="006970CC">
      <w:pPr>
        <w:pBdr>
          <w:bottom w:val="single" w:sz="12" w:space="1" w:color="auto"/>
        </w:pBdr>
        <w:autoSpaceDE w:val="0"/>
        <w:autoSpaceDN w:val="0"/>
        <w:adjustRightInd w:val="0"/>
        <w:jc w:val="both"/>
        <w:rPr>
          <w:spacing w:val="0"/>
        </w:rPr>
      </w:pPr>
    </w:p>
    <w:p w14:paraId="64703142" w14:textId="77777777" w:rsidR="00D569C3" w:rsidRPr="007D46FC" w:rsidRDefault="00D569C3" w:rsidP="006970CC">
      <w:pPr>
        <w:pStyle w:val="Heading1"/>
        <w:jc w:val="both"/>
        <w:rPr>
          <w:b/>
          <w:spacing w:val="0"/>
          <w:sz w:val="24"/>
        </w:rPr>
      </w:pPr>
    </w:p>
    <w:p w14:paraId="3F1E8C8A" w14:textId="77777777" w:rsidR="00AD741A" w:rsidRPr="007D46FC" w:rsidRDefault="00EA56E6" w:rsidP="006970CC">
      <w:pPr>
        <w:pStyle w:val="Heading1"/>
        <w:jc w:val="both"/>
        <w:rPr>
          <w:bCs w:val="0"/>
          <w:spacing w:val="0"/>
          <w:sz w:val="24"/>
        </w:rPr>
      </w:pPr>
      <w:r w:rsidRPr="007D46FC">
        <w:rPr>
          <w:b/>
          <w:spacing w:val="0"/>
          <w:sz w:val="24"/>
        </w:rPr>
        <w:t>Policy</w:t>
      </w:r>
      <w:r w:rsidR="00A856E7" w:rsidRPr="007D46FC">
        <w:rPr>
          <w:b/>
          <w:spacing w:val="0"/>
          <w:sz w:val="24"/>
        </w:rPr>
        <w:t>.</w:t>
      </w:r>
    </w:p>
    <w:p w14:paraId="120262A0" w14:textId="77777777" w:rsidR="00AD741A" w:rsidRPr="007D46FC" w:rsidRDefault="00AD741A" w:rsidP="006970CC">
      <w:pPr>
        <w:jc w:val="both"/>
        <w:rPr>
          <w:spacing w:val="0"/>
        </w:rPr>
      </w:pPr>
    </w:p>
    <w:p w14:paraId="008E5B76" w14:textId="77777777" w:rsidR="00AD741A" w:rsidRPr="007D46FC" w:rsidRDefault="00253B0D" w:rsidP="006970CC">
      <w:pPr>
        <w:jc w:val="both"/>
        <w:rPr>
          <w:spacing w:val="0"/>
        </w:rPr>
      </w:pPr>
      <w:r w:rsidRPr="007D46FC">
        <w:rPr>
          <w:spacing w:val="0"/>
        </w:rPr>
        <w:t xml:space="preserve">[Health Center Name] (“Health Center”) </w:t>
      </w:r>
      <w:r w:rsidR="00AD741A" w:rsidRPr="007D46FC">
        <w:rPr>
          <w:spacing w:val="0"/>
        </w:rPr>
        <w:t xml:space="preserve">is committed to ensuring corporate responsibility and transparency of actions, including the independence of its annual audit, which will be conducted in accordance with applicable </w:t>
      </w:r>
      <w:r w:rsidR="00C7721D" w:rsidRPr="007D46FC">
        <w:rPr>
          <w:bCs w:val="0"/>
          <w:iCs/>
          <w:spacing w:val="0"/>
          <w:szCs w:val="26"/>
        </w:rPr>
        <w:t>federal and s</w:t>
      </w:r>
      <w:r w:rsidR="00AD741A" w:rsidRPr="007D46FC">
        <w:rPr>
          <w:bCs w:val="0"/>
          <w:iCs/>
          <w:spacing w:val="0"/>
          <w:szCs w:val="26"/>
        </w:rPr>
        <w:t xml:space="preserve">tate laws, regulations and </w:t>
      </w:r>
      <w:r w:rsidR="00441B6E" w:rsidRPr="007D46FC">
        <w:rPr>
          <w:bCs w:val="0"/>
          <w:iCs/>
          <w:spacing w:val="0"/>
          <w:szCs w:val="26"/>
        </w:rPr>
        <w:t>policies</w:t>
      </w:r>
      <w:r w:rsidR="00AD741A" w:rsidRPr="007D46FC">
        <w:rPr>
          <w:bCs w:val="0"/>
          <w:iCs/>
          <w:spacing w:val="0"/>
          <w:szCs w:val="26"/>
        </w:rPr>
        <w:t>.</w:t>
      </w:r>
    </w:p>
    <w:p w14:paraId="70576E58" w14:textId="77777777" w:rsidR="00AD741A" w:rsidRPr="007D46FC" w:rsidRDefault="00AD741A" w:rsidP="006970CC">
      <w:pPr>
        <w:jc w:val="both"/>
        <w:rPr>
          <w:spacing w:val="0"/>
        </w:rPr>
      </w:pPr>
    </w:p>
    <w:p w14:paraId="653113D0" w14:textId="77777777" w:rsidR="00AD741A" w:rsidRPr="007D46FC" w:rsidRDefault="00AD741A" w:rsidP="006970CC">
      <w:pPr>
        <w:pStyle w:val="Heading1"/>
        <w:jc w:val="both"/>
        <w:rPr>
          <w:b/>
          <w:spacing w:val="0"/>
          <w:sz w:val="24"/>
        </w:rPr>
      </w:pPr>
      <w:r w:rsidRPr="007D46FC">
        <w:rPr>
          <w:b/>
          <w:spacing w:val="0"/>
          <w:sz w:val="24"/>
        </w:rPr>
        <w:t>Proc</w:t>
      </w:r>
      <w:r w:rsidR="00EA56E6" w:rsidRPr="007D46FC">
        <w:rPr>
          <w:b/>
          <w:spacing w:val="0"/>
          <w:sz w:val="24"/>
        </w:rPr>
        <w:t>edure</w:t>
      </w:r>
      <w:r w:rsidR="00A856E7" w:rsidRPr="007D46FC">
        <w:rPr>
          <w:b/>
          <w:spacing w:val="0"/>
          <w:sz w:val="24"/>
        </w:rPr>
        <w:t>.</w:t>
      </w:r>
      <w:r w:rsidR="00C7721D" w:rsidRPr="007D46FC">
        <w:rPr>
          <w:rStyle w:val="FootnoteReference"/>
          <w:b/>
          <w:spacing w:val="0"/>
          <w:sz w:val="24"/>
        </w:rPr>
        <w:footnoteReference w:id="2"/>
      </w:r>
    </w:p>
    <w:p w14:paraId="26D202E2" w14:textId="77777777" w:rsidR="00AD741A" w:rsidRPr="007D46FC" w:rsidRDefault="00AD741A" w:rsidP="006970CC">
      <w:pPr>
        <w:jc w:val="both"/>
        <w:rPr>
          <w:spacing w:val="0"/>
        </w:rPr>
      </w:pPr>
    </w:p>
    <w:p w14:paraId="61C5564A" w14:textId="77777777" w:rsidR="00AD741A" w:rsidRPr="007D46FC" w:rsidRDefault="00AD741A" w:rsidP="006970CC">
      <w:pPr>
        <w:tabs>
          <w:tab w:val="left" w:pos="360"/>
        </w:tabs>
        <w:jc w:val="both"/>
        <w:rPr>
          <w:spacing w:val="0"/>
        </w:rPr>
      </w:pPr>
      <w:r w:rsidRPr="007D46FC">
        <w:rPr>
          <w:b/>
          <w:spacing w:val="0"/>
        </w:rPr>
        <w:t>1.</w:t>
      </w:r>
      <w:r w:rsidR="006970CC" w:rsidRPr="007D46FC">
        <w:rPr>
          <w:b/>
          <w:spacing w:val="0"/>
        </w:rPr>
        <w:tab/>
      </w:r>
      <w:r w:rsidRPr="007D46FC">
        <w:rPr>
          <w:b/>
          <w:spacing w:val="0"/>
        </w:rPr>
        <w:t>Process</w:t>
      </w:r>
      <w:r w:rsidR="00253B0D" w:rsidRPr="007D46FC">
        <w:rPr>
          <w:b/>
          <w:spacing w:val="0"/>
        </w:rPr>
        <w:t xml:space="preserve"> to review and approve c</w:t>
      </w:r>
      <w:r w:rsidRPr="007D46FC">
        <w:rPr>
          <w:b/>
          <w:spacing w:val="0"/>
        </w:rPr>
        <w:t>ontracts.</w:t>
      </w:r>
      <w:r w:rsidR="00CC1E11" w:rsidRPr="007D46FC">
        <w:rPr>
          <w:spacing w:val="0"/>
        </w:rPr>
        <w:t xml:space="preserve"> </w:t>
      </w:r>
      <w:r w:rsidR="00AF68CA" w:rsidRPr="007D46FC">
        <w:rPr>
          <w:spacing w:val="0"/>
        </w:rPr>
        <w:t>Health Center</w:t>
      </w:r>
      <w:r w:rsidRPr="007D46FC">
        <w:rPr>
          <w:spacing w:val="0"/>
        </w:rPr>
        <w:t xml:space="preserve"> will establish a process by which it will review and</w:t>
      </w:r>
      <w:r w:rsidR="00253B0D" w:rsidRPr="007D46FC">
        <w:rPr>
          <w:spacing w:val="0"/>
        </w:rPr>
        <w:t xml:space="preserve"> approve all proposals from </w:t>
      </w:r>
      <w:r w:rsidR="00AF68CA" w:rsidRPr="007D46FC">
        <w:rPr>
          <w:spacing w:val="0"/>
        </w:rPr>
        <w:t>Health Center</w:t>
      </w:r>
      <w:r w:rsidRPr="007D46FC">
        <w:rPr>
          <w:spacing w:val="0"/>
        </w:rPr>
        <w:t xml:space="preserve">’s audit firm </w:t>
      </w:r>
      <w:r w:rsidR="00253B0D" w:rsidRPr="007D46FC">
        <w:rPr>
          <w:spacing w:val="0"/>
        </w:rPr>
        <w:t xml:space="preserve">to provide non-audit services. </w:t>
      </w:r>
      <w:r w:rsidRPr="007D46FC">
        <w:rPr>
          <w:spacing w:val="0"/>
        </w:rPr>
        <w:t>The goal of this process is to ensure auditor independence with respect to such services, and all proposals will be evaluated based upon criteria est</w:t>
      </w:r>
      <w:r w:rsidR="00CC1E11" w:rsidRPr="007D46FC">
        <w:rPr>
          <w:spacing w:val="0"/>
        </w:rPr>
        <w:t xml:space="preserve">ablished to advance this goal. </w:t>
      </w:r>
      <w:r w:rsidRPr="007D46FC">
        <w:rPr>
          <w:spacing w:val="0"/>
        </w:rPr>
        <w:t>These criteria will, at a minimum, prohibit the audit firm from: (1) performing non-audit services that involve management functions or management decisions; (2) auditing its own work; and/or (3) providing non-audit services that are significan</w:t>
      </w:r>
      <w:r w:rsidR="00342D3A" w:rsidRPr="007D46FC">
        <w:rPr>
          <w:spacing w:val="0"/>
        </w:rPr>
        <w:t>tly material to the audi</w:t>
      </w:r>
      <w:r w:rsidR="00CC1E11" w:rsidRPr="007D46FC">
        <w:rPr>
          <w:spacing w:val="0"/>
        </w:rPr>
        <w:t xml:space="preserve">t. </w:t>
      </w:r>
      <w:r w:rsidR="00AF68CA" w:rsidRPr="007D46FC">
        <w:rPr>
          <w:spacing w:val="0"/>
        </w:rPr>
        <w:t>Health Center</w:t>
      </w:r>
      <w:r w:rsidRPr="007D46FC">
        <w:rPr>
          <w:spacing w:val="0"/>
        </w:rPr>
        <w:t xml:space="preserve"> may develop other criteria as it deems appropriate and in its sole discretion.</w:t>
      </w:r>
    </w:p>
    <w:p w14:paraId="6A8C4BF1" w14:textId="77777777" w:rsidR="00AD741A" w:rsidRPr="007D46FC" w:rsidRDefault="00AD741A" w:rsidP="006970CC">
      <w:pPr>
        <w:tabs>
          <w:tab w:val="left" w:pos="360"/>
        </w:tabs>
        <w:jc w:val="both"/>
        <w:rPr>
          <w:spacing w:val="0"/>
        </w:rPr>
      </w:pPr>
    </w:p>
    <w:p w14:paraId="234A4E72" w14:textId="77777777" w:rsidR="00AD741A" w:rsidRPr="007D46FC" w:rsidRDefault="00AD741A" w:rsidP="006970CC">
      <w:pPr>
        <w:tabs>
          <w:tab w:val="left" w:pos="360"/>
        </w:tabs>
        <w:jc w:val="both"/>
        <w:rPr>
          <w:spacing w:val="0"/>
        </w:rPr>
      </w:pPr>
      <w:r w:rsidRPr="007D46FC">
        <w:rPr>
          <w:b/>
          <w:spacing w:val="0"/>
        </w:rPr>
        <w:t>2.</w:t>
      </w:r>
      <w:r w:rsidR="006970CC" w:rsidRPr="007D46FC">
        <w:rPr>
          <w:b/>
          <w:spacing w:val="0"/>
        </w:rPr>
        <w:tab/>
      </w:r>
      <w:r w:rsidRPr="007D46FC">
        <w:rPr>
          <w:b/>
          <w:spacing w:val="0"/>
        </w:rPr>
        <w:t>Safeguards.</w:t>
      </w:r>
      <w:r w:rsidR="00CC1E11" w:rsidRPr="007D46FC">
        <w:rPr>
          <w:spacing w:val="0"/>
        </w:rPr>
        <w:t xml:space="preserve"> </w:t>
      </w:r>
      <w:r w:rsidRPr="007D46FC">
        <w:rPr>
          <w:spacing w:val="0"/>
        </w:rPr>
        <w:t>Prior to executi</w:t>
      </w:r>
      <w:r w:rsidR="00342D3A" w:rsidRPr="007D46FC">
        <w:rPr>
          <w:spacing w:val="0"/>
        </w:rPr>
        <w:t>ng any contracts under which</w:t>
      </w:r>
      <w:r w:rsidRPr="007D46FC">
        <w:rPr>
          <w:spacing w:val="0"/>
        </w:rPr>
        <w:t xml:space="preserve"> </w:t>
      </w:r>
      <w:r w:rsidR="00AF68CA" w:rsidRPr="007D46FC">
        <w:rPr>
          <w:spacing w:val="0"/>
        </w:rPr>
        <w:t>Health Center</w:t>
      </w:r>
      <w:r w:rsidRPr="007D46FC">
        <w:rPr>
          <w:spacing w:val="0"/>
        </w:rPr>
        <w:t xml:space="preserve">’s audit firm </w:t>
      </w:r>
      <w:r w:rsidR="00342D3A" w:rsidRPr="007D46FC">
        <w:rPr>
          <w:spacing w:val="0"/>
        </w:rPr>
        <w:t>provides non-audit services,</w:t>
      </w:r>
      <w:r w:rsidRPr="007D46FC">
        <w:rPr>
          <w:spacing w:val="0"/>
        </w:rPr>
        <w:t xml:space="preserve"> </w:t>
      </w:r>
      <w:r w:rsidR="00AF68CA" w:rsidRPr="007D46FC">
        <w:rPr>
          <w:spacing w:val="0"/>
        </w:rPr>
        <w:t>Health Center</w:t>
      </w:r>
      <w:r w:rsidRPr="007D46FC">
        <w:rPr>
          <w:spacing w:val="0"/>
        </w:rPr>
        <w:t xml:space="preserve"> will ensure that appropriate safeguards are established, including the following:</w:t>
      </w:r>
    </w:p>
    <w:p w14:paraId="74B0227C" w14:textId="77777777" w:rsidR="00AD741A" w:rsidRPr="007D46FC" w:rsidRDefault="00AD741A" w:rsidP="006970CC">
      <w:pPr>
        <w:ind w:left="1080" w:hanging="360"/>
        <w:jc w:val="both"/>
        <w:rPr>
          <w:spacing w:val="0"/>
        </w:rPr>
      </w:pPr>
    </w:p>
    <w:p w14:paraId="2427DC4B" w14:textId="77777777" w:rsidR="00AD741A" w:rsidRPr="007D46FC" w:rsidRDefault="00AF68CA" w:rsidP="006970CC">
      <w:pPr>
        <w:numPr>
          <w:ilvl w:val="0"/>
          <w:numId w:val="1"/>
        </w:numPr>
        <w:autoSpaceDE w:val="0"/>
        <w:autoSpaceDN w:val="0"/>
        <w:adjustRightInd w:val="0"/>
        <w:ind w:left="1080"/>
        <w:jc w:val="both"/>
        <w:rPr>
          <w:rFonts w:cs="Courier New"/>
          <w:spacing w:val="0"/>
        </w:rPr>
      </w:pPr>
      <w:r w:rsidRPr="007D46FC">
        <w:rPr>
          <w:rFonts w:cs="Courier New"/>
          <w:spacing w:val="0"/>
        </w:rPr>
        <w:t>Health Center</w:t>
      </w:r>
      <w:r w:rsidR="00AD741A" w:rsidRPr="007D46FC">
        <w:rPr>
          <w:rFonts w:cs="Courier New"/>
          <w:spacing w:val="0"/>
        </w:rPr>
        <w:t xml:space="preserve">’s management must take responsibility for the decisions pertaining to the non-audit services; </w:t>
      </w:r>
    </w:p>
    <w:p w14:paraId="283AFCCB" w14:textId="77777777" w:rsidR="00AF68CA" w:rsidRPr="007D46FC" w:rsidRDefault="00AD741A" w:rsidP="006970CC">
      <w:pPr>
        <w:numPr>
          <w:ilvl w:val="0"/>
          <w:numId w:val="1"/>
        </w:numPr>
        <w:autoSpaceDE w:val="0"/>
        <w:autoSpaceDN w:val="0"/>
        <w:adjustRightInd w:val="0"/>
        <w:ind w:left="1080"/>
        <w:jc w:val="both"/>
        <w:rPr>
          <w:rFonts w:cs="Courier New"/>
          <w:spacing w:val="0"/>
        </w:rPr>
      </w:pPr>
      <w:r w:rsidRPr="007D46FC">
        <w:rPr>
          <w:rFonts w:cs="Courier New"/>
          <w:spacing w:val="0"/>
        </w:rPr>
        <w:t>The responsibilities of the audit firm and management must be spelled out in the audit engagement letter</w:t>
      </w:r>
      <w:r w:rsidR="00AF68CA" w:rsidRPr="007D46FC">
        <w:rPr>
          <w:rFonts w:cs="Courier New"/>
          <w:spacing w:val="0"/>
        </w:rPr>
        <w:t>; and</w:t>
      </w:r>
    </w:p>
    <w:p w14:paraId="7A00BF86" w14:textId="77777777" w:rsidR="00AD741A" w:rsidRPr="007D46FC" w:rsidRDefault="00AF68CA" w:rsidP="006970CC">
      <w:pPr>
        <w:numPr>
          <w:ilvl w:val="0"/>
          <w:numId w:val="1"/>
        </w:numPr>
        <w:autoSpaceDE w:val="0"/>
        <w:autoSpaceDN w:val="0"/>
        <w:adjustRightInd w:val="0"/>
        <w:ind w:left="1080"/>
        <w:jc w:val="both"/>
        <w:rPr>
          <w:rFonts w:cs="Courier New"/>
          <w:spacing w:val="0"/>
        </w:rPr>
      </w:pPr>
      <w:r w:rsidRPr="007D46FC">
        <w:rPr>
          <w:rFonts w:cs="Courier New"/>
          <w:spacing w:val="0"/>
        </w:rPr>
        <w:t>Health Center’s management shall otherwise ensure that the non-audit services do not impair the audit firm’s independence as detailed in Generally-Accepted Government Auditing Standards.</w:t>
      </w:r>
    </w:p>
    <w:p w14:paraId="09C07856" w14:textId="77777777" w:rsidR="00AD741A" w:rsidRPr="007D46FC" w:rsidRDefault="00AD741A" w:rsidP="006970CC">
      <w:pPr>
        <w:pStyle w:val="Footer"/>
        <w:tabs>
          <w:tab w:val="clear" w:pos="4320"/>
          <w:tab w:val="clear" w:pos="8640"/>
        </w:tabs>
        <w:ind w:left="1080" w:hanging="360"/>
        <w:jc w:val="both"/>
        <w:rPr>
          <w:b/>
          <w:bCs w:val="0"/>
          <w:spacing w:val="0"/>
        </w:rPr>
      </w:pPr>
    </w:p>
    <w:p w14:paraId="37D52A13" w14:textId="77777777" w:rsidR="00AD741A" w:rsidRPr="007D46FC" w:rsidRDefault="00CC1E11" w:rsidP="006970CC">
      <w:pPr>
        <w:pStyle w:val="Footer"/>
        <w:tabs>
          <w:tab w:val="clear" w:pos="4320"/>
          <w:tab w:val="clear" w:pos="8640"/>
          <w:tab w:val="left" w:pos="360"/>
        </w:tabs>
        <w:jc w:val="both"/>
        <w:rPr>
          <w:spacing w:val="0"/>
        </w:rPr>
      </w:pPr>
      <w:r w:rsidRPr="007D46FC">
        <w:rPr>
          <w:b/>
          <w:bCs w:val="0"/>
          <w:spacing w:val="0"/>
        </w:rPr>
        <w:t>3.</w:t>
      </w:r>
      <w:r w:rsidR="006970CC" w:rsidRPr="007D46FC">
        <w:rPr>
          <w:b/>
          <w:bCs w:val="0"/>
          <w:spacing w:val="0"/>
        </w:rPr>
        <w:tab/>
      </w:r>
      <w:r w:rsidR="000B211E" w:rsidRPr="007D46FC">
        <w:rPr>
          <w:b/>
          <w:bCs w:val="0"/>
          <w:spacing w:val="0"/>
        </w:rPr>
        <w:t>Legal r</w:t>
      </w:r>
      <w:r w:rsidR="00AD741A" w:rsidRPr="007D46FC">
        <w:rPr>
          <w:b/>
          <w:bCs w:val="0"/>
          <w:spacing w:val="0"/>
        </w:rPr>
        <w:t>equirements</w:t>
      </w:r>
      <w:r w:rsidRPr="007D46FC">
        <w:rPr>
          <w:spacing w:val="0"/>
        </w:rPr>
        <w:t>.</w:t>
      </w:r>
      <w:r w:rsidR="000B211E" w:rsidRPr="007D46FC">
        <w:rPr>
          <w:spacing w:val="0"/>
        </w:rPr>
        <w:t xml:space="preserve"> </w:t>
      </w:r>
      <w:r w:rsidR="00AF68CA" w:rsidRPr="007D46FC">
        <w:rPr>
          <w:spacing w:val="0"/>
        </w:rPr>
        <w:t>Health Center</w:t>
      </w:r>
      <w:r w:rsidR="00AD741A" w:rsidRPr="007D46FC">
        <w:rPr>
          <w:spacing w:val="0"/>
        </w:rPr>
        <w:t xml:space="preserve"> will use best efforts to ensure that all contracts to procure non-audit services from its audit firm w</w:t>
      </w:r>
      <w:r w:rsidR="00C7721D" w:rsidRPr="007D46FC">
        <w:rPr>
          <w:spacing w:val="0"/>
        </w:rPr>
        <w:t>ill comply with all applicable federal and s</w:t>
      </w:r>
      <w:r w:rsidR="00AD741A" w:rsidRPr="007D46FC">
        <w:rPr>
          <w:spacing w:val="0"/>
        </w:rPr>
        <w:t>tate laws, regulations and policies, including, but not limit</w:t>
      </w:r>
      <w:r w:rsidR="000B211E" w:rsidRPr="007D46FC">
        <w:rPr>
          <w:spacing w:val="0"/>
        </w:rPr>
        <w:t>ed to, the requirements of the F</w:t>
      </w:r>
      <w:r w:rsidR="00C7721D" w:rsidRPr="007D46FC">
        <w:rPr>
          <w:spacing w:val="0"/>
        </w:rPr>
        <w:t>ederal Anti-</w:t>
      </w:r>
      <w:r w:rsidR="00C7721D" w:rsidRPr="007D46FC">
        <w:rPr>
          <w:spacing w:val="0"/>
        </w:rPr>
        <w:lastRenderedPageBreak/>
        <w:t>K</w:t>
      </w:r>
      <w:r w:rsidR="00AD741A" w:rsidRPr="007D46FC">
        <w:rPr>
          <w:spacing w:val="0"/>
        </w:rPr>
        <w:t xml:space="preserve">ickback laws and regulations and the </w:t>
      </w:r>
      <w:r w:rsidR="00C7721D" w:rsidRPr="007D46FC">
        <w:rPr>
          <w:bCs w:val="0"/>
          <w:iCs/>
          <w:spacing w:val="0"/>
          <w:szCs w:val="26"/>
        </w:rPr>
        <w:t>f</w:t>
      </w:r>
      <w:r w:rsidR="00AD741A" w:rsidRPr="007D46FC">
        <w:rPr>
          <w:bCs w:val="0"/>
          <w:iCs/>
          <w:spacing w:val="0"/>
          <w:szCs w:val="26"/>
        </w:rPr>
        <w:t>ederal procurement standards set forth in 45 C.F.R. Part 7</w:t>
      </w:r>
      <w:r w:rsidR="00AF68CA" w:rsidRPr="007D46FC">
        <w:rPr>
          <w:bCs w:val="0"/>
          <w:iCs/>
          <w:spacing w:val="0"/>
          <w:szCs w:val="26"/>
        </w:rPr>
        <w:t>5</w:t>
      </w:r>
      <w:r w:rsidR="00AD741A" w:rsidRPr="007D46FC">
        <w:rPr>
          <w:bCs w:val="0"/>
          <w:iCs/>
          <w:spacing w:val="0"/>
          <w:szCs w:val="26"/>
        </w:rPr>
        <w:t xml:space="preserve"> (as addressed</w:t>
      </w:r>
      <w:r w:rsidR="000B211E" w:rsidRPr="007D46FC">
        <w:rPr>
          <w:bCs w:val="0"/>
          <w:iCs/>
          <w:spacing w:val="0"/>
          <w:szCs w:val="26"/>
        </w:rPr>
        <w:t xml:space="preserve"> further in </w:t>
      </w:r>
      <w:r w:rsidR="00AF68CA" w:rsidRPr="007D46FC">
        <w:rPr>
          <w:bCs w:val="0"/>
          <w:iCs/>
          <w:spacing w:val="0"/>
          <w:szCs w:val="26"/>
        </w:rPr>
        <w:t>Health Center</w:t>
      </w:r>
      <w:r w:rsidR="00AD741A" w:rsidRPr="007D46FC">
        <w:rPr>
          <w:bCs w:val="0"/>
          <w:iCs/>
          <w:spacing w:val="0"/>
          <w:szCs w:val="26"/>
        </w:rPr>
        <w:t xml:space="preserve">’s </w:t>
      </w:r>
      <w:r w:rsidR="00EA56E6" w:rsidRPr="007D46FC">
        <w:rPr>
          <w:bCs w:val="0"/>
          <w:iCs/>
          <w:spacing w:val="0"/>
          <w:szCs w:val="26"/>
        </w:rPr>
        <w:t>Procurement</w:t>
      </w:r>
      <w:r w:rsidR="000B211E" w:rsidRPr="007D46FC">
        <w:rPr>
          <w:bCs w:val="0"/>
          <w:iCs/>
          <w:spacing w:val="0"/>
          <w:szCs w:val="26"/>
        </w:rPr>
        <w:t>: Policy and</w:t>
      </w:r>
      <w:r w:rsidR="00EA56E6" w:rsidRPr="007D46FC">
        <w:rPr>
          <w:bCs w:val="0"/>
          <w:iCs/>
          <w:spacing w:val="0"/>
          <w:szCs w:val="26"/>
        </w:rPr>
        <w:t xml:space="preserve"> Procedures</w:t>
      </w:r>
      <w:r w:rsidR="00AD741A" w:rsidRPr="007D46FC">
        <w:rPr>
          <w:bCs w:val="0"/>
          <w:iCs/>
          <w:spacing w:val="0"/>
          <w:szCs w:val="26"/>
        </w:rPr>
        <w:t>), as they apply to vendor contracts in general.</w:t>
      </w:r>
    </w:p>
    <w:p w14:paraId="07BBE28A" w14:textId="77777777" w:rsidR="00AD741A" w:rsidRPr="007D46FC" w:rsidRDefault="00AD741A" w:rsidP="006970CC">
      <w:pPr>
        <w:pStyle w:val="BodyText"/>
        <w:tabs>
          <w:tab w:val="left" w:pos="360"/>
        </w:tabs>
        <w:jc w:val="both"/>
        <w:rPr>
          <w:bCs w:val="0"/>
          <w:iCs/>
          <w:spacing w:val="0"/>
          <w:sz w:val="24"/>
        </w:rPr>
      </w:pPr>
    </w:p>
    <w:p w14:paraId="4DEE6E1F" w14:textId="77777777" w:rsidR="00AD741A" w:rsidRPr="007D46FC" w:rsidRDefault="00CC1E11" w:rsidP="006970CC">
      <w:pPr>
        <w:tabs>
          <w:tab w:val="left" w:pos="360"/>
        </w:tabs>
        <w:jc w:val="both"/>
        <w:rPr>
          <w:spacing w:val="0"/>
        </w:rPr>
      </w:pPr>
      <w:r w:rsidRPr="007D46FC">
        <w:rPr>
          <w:b/>
          <w:bCs w:val="0"/>
          <w:spacing w:val="0"/>
        </w:rPr>
        <w:t>4.</w:t>
      </w:r>
      <w:r w:rsidR="006970CC" w:rsidRPr="007D46FC">
        <w:rPr>
          <w:b/>
          <w:bCs w:val="0"/>
          <w:spacing w:val="0"/>
        </w:rPr>
        <w:tab/>
      </w:r>
      <w:r w:rsidR="00AD741A" w:rsidRPr="007D46FC">
        <w:rPr>
          <w:b/>
          <w:bCs w:val="0"/>
          <w:spacing w:val="0"/>
        </w:rPr>
        <w:t>Documentation.</w:t>
      </w:r>
      <w:r w:rsidRPr="007D46FC">
        <w:rPr>
          <w:spacing w:val="0"/>
        </w:rPr>
        <w:t xml:space="preserve"> </w:t>
      </w:r>
      <w:r w:rsidR="00AF68CA" w:rsidRPr="007D46FC">
        <w:rPr>
          <w:spacing w:val="0"/>
        </w:rPr>
        <w:t>Health Center</w:t>
      </w:r>
      <w:r w:rsidR="00AD741A" w:rsidRPr="007D46FC">
        <w:rPr>
          <w:spacing w:val="0"/>
        </w:rPr>
        <w:t xml:space="preserve"> will maintain copies of all contracts, as well as programmatic and financial reports related to such contracts, in its operational files for a minimum of three years after the term of the contract.</w:t>
      </w:r>
    </w:p>
    <w:p w14:paraId="4F03789F" w14:textId="77777777" w:rsidR="00AD741A" w:rsidRPr="007D46FC" w:rsidRDefault="00AD741A" w:rsidP="006970CC">
      <w:pPr>
        <w:pStyle w:val="BodyText"/>
        <w:jc w:val="both"/>
        <w:rPr>
          <w:b/>
          <w:bCs w:val="0"/>
          <w:iCs/>
          <w:spacing w:val="0"/>
          <w:sz w:val="24"/>
        </w:rPr>
      </w:pPr>
    </w:p>
    <w:p w14:paraId="5337520A" w14:textId="77777777" w:rsidR="00731C5C" w:rsidRDefault="00CC1E11" w:rsidP="006970CC">
      <w:pPr>
        <w:jc w:val="both"/>
        <w:rPr>
          <w:b/>
          <w:spacing w:val="0"/>
        </w:rPr>
      </w:pPr>
      <w:r w:rsidRPr="007D46FC">
        <w:rPr>
          <w:b/>
          <w:spacing w:val="0"/>
        </w:rPr>
        <w:t xml:space="preserve">This policy and procedure shall be periodically reviewed and updated consistent with the requirements and standards established by the Board of Directors and health center management, federal and state laws and regulations, and </w:t>
      </w:r>
      <w:r w:rsidR="00731C5C">
        <w:rPr>
          <w:b/>
          <w:spacing w:val="0"/>
        </w:rPr>
        <w:t>instructions of relevant regulatory and/or grantor agencies.</w:t>
      </w:r>
    </w:p>
    <w:p w14:paraId="0C532127" w14:textId="77777777" w:rsidR="00CC1E11" w:rsidRPr="007D46FC" w:rsidRDefault="00CC1E11" w:rsidP="006970CC">
      <w:pPr>
        <w:jc w:val="both"/>
        <w:rPr>
          <w:spacing w:val="0"/>
        </w:rPr>
      </w:pPr>
    </w:p>
    <w:p w14:paraId="6C2B8EA3" w14:textId="77777777" w:rsidR="00CC1E11" w:rsidRPr="007D46FC" w:rsidRDefault="00CC1E11" w:rsidP="006970CC">
      <w:pPr>
        <w:jc w:val="both"/>
        <w:rPr>
          <w:b/>
          <w:spacing w:val="0"/>
        </w:rPr>
      </w:pPr>
      <w:r w:rsidRPr="007D46FC">
        <w:rPr>
          <w:b/>
          <w:spacing w:val="0"/>
        </w:rPr>
        <w:t>Responsible parties:</w:t>
      </w:r>
    </w:p>
    <w:p w14:paraId="5E0BE944" w14:textId="77777777" w:rsidR="00CC1E11" w:rsidRPr="007D46FC" w:rsidRDefault="00CC1E11" w:rsidP="006970CC">
      <w:pPr>
        <w:jc w:val="both"/>
        <w:rPr>
          <w:b/>
          <w:spacing w:val="0"/>
        </w:rPr>
      </w:pPr>
    </w:p>
    <w:p w14:paraId="0A00BED5" w14:textId="77777777" w:rsidR="00CC1E11" w:rsidRPr="007D46FC" w:rsidRDefault="00CC1E11" w:rsidP="006970CC">
      <w:pPr>
        <w:pStyle w:val="Heading3"/>
        <w:rPr>
          <w:b/>
          <w:szCs w:val="24"/>
        </w:rPr>
      </w:pPr>
      <w:r w:rsidRPr="007D46FC">
        <w:rPr>
          <w:szCs w:val="24"/>
        </w:rPr>
        <w:t>Signature</w:t>
      </w:r>
      <w:r w:rsidRPr="007D46FC">
        <w:rPr>
          <w:szCs w:val="24"/>
        </w:rPr>
        <w:tab/>
      </w:r>
      <w:r w:rsidRPr="007D46FC">
        <w:rPr>
          <w:szCs w:val="24"/>
        </w:rPr>
        <w:tab/>
      </w:r>
      <w:r w:rsidRPr="007D46FC">
        <w:rPr>
          <w:szCs w:val="24"/>
        </w:rPr>
        <w:tab/>
      </w:r>
      <w:r w:rsidRPr="007D46FC">
        <w:rPr>
          <w:szCs w:val="24"/>
        </w:rPr>
        <w:tab/>
      </w:r>
      <w:r w:rsidRPr="007D46FC">
        <w:rPr>
          <w:szCs w:val="24"/>
        </w:rPr>
        <w:tab/>
      </w:r>
      <w:r w:rsidRPr="007D46FC">
        <w:rPr>
          <w:szCs w:val="24"/>
        </w:rPr>
        <w:tab/>
      </w:r>
      <w:r w:rsidRPr="007D46FC">
        <w:rPr>
          <w:szCs w:val="24"/>
        </w:rPr>
        <w:tab/>
      </w:r>
      <w:r w:rsidRPr="007D46FC">
        <w:rPr>
          <w:szCs w:val="24"/>
        </w:rPr>
        <w:tab/>
        <w:t>Date</w:t>
      </w:r>
      <w:r w:rsidRPr="007D46FC">
        <w:rPr>
          <w:szCs w:val="24"/>
        </w:rPr>
        <w:tab/>
      </w:r>
      <w:r w:rsidRPr="007D46FC">
        <w:rPr>
          <w:szCs w:val="24"/>
        </w:rPr>
        <w:tab/>
      </w:r>
      <w:r w:rsidRPr="007D46FC">
        <w:rPr>
          <w:szCs w:val="24"/>
        </w:rPr>
        <w:tab/>
      </w:r>
      <w:r w:rsidRPr="007D46FC">
        <w:rPr>
          <w:szCs w:val="24"/>
        </w:rPr>
        <w:tab/>
      </w:r>
    </w:p>
    <w:p w14:paraId="59A59EC9" w14:textId="77777777" w:rsidR="00CC1E11" w:rsidRPr="007D46FC" w:rsidRDefault="00CC1E11" w:rsidP="006970CC">
      <w:pPr>
        <w:pStyle w:val="Heading3"/>
        <w:rPr>
          <w:szCs w:val="24"/>
          <w:u w:val="none"/>
        </w:rPr>
      </w:pPr>
      <w:r w:rsidRPr="007D46FC">
        <w:rPr>
          <w:szCs w:val="24"/>
          <w:u w:val="none"/>
        </w:rPr>
        <w:t>Executive Director</w:t>
      </w:r>
    </w:p>
    <w:p w14:paraId="41C961B5" w14:textId="77777777" w:rsidR="00CC1E11" w:rsidRPr="007D46FC" w:rsidRDefault="00CC1E11" w:rsidP="006970CC">
      <w:pPr>
        <w:jc w:val="both"/>
        <w:rPr>
          <w:spacing w:val="0"/>
        </w:rPr>
      </w:pPr>
    </w:p>
    <w:p w14:paraId="65B62AAD" w14:textId="77777777" w:rsidR="00CC1E11" w:rsidRPr="007D46FC" w:rsidRDefault="00CC1E11" w:rsidP="006970CC">
      <w:pPr>
        <w:pStyle w:val="3"/>
        <w:rPr>
          <w:bCs/>
          <w:szCs w:val="24"/>
        </w:rPr>
      </w:pPr>
      <w:r w:rsidRPr="007D46FC">
        <w:rPr>
          <w:szCs w:val="24"/>
          <w:u w:val="single"/>
        </w:rPr>
        <w:t>Signature</w:t>
      </w:r>
      <w:r w:rsidRPr="007D46FC">
        <w:rPr>
          <w:szCs w:val="24"/>
          <w:u w:val="single"/>
        </w:rPr>
        <w:tab/>
      </w:r>
      <w:r w:rsidRPr="007D46FC">
        <w:rPr>
          <w:szCs w:val="24"/>
          <w:u w:val="single"/>
        </w:rPr>
        <w:tab/>
      </w:r>
      <w:r w:rsidRPr="007D46FC">
        <w:rPr>
          <w:szCs w:val="24"/>
          <w:u w:val="single"/>
        </w:rPr>
        <w:tab/>
      </w:r>
      <w:r w:rsidRPr="007D46FC">
        <w:rPr>
          <w:szCs w:val="24"/>
          <w:u w:val="single"/>
        </w:rPr>
        <w:tab/>
      </w:r>
      <w:r w:rsidRPr="007D46FC">
        <w:rPr>
          <w:szCs w:val="24"/>
          <w:u w:val="single"/>
        </w:rPr>
        <w:tab/>
      </w:r>
      <w:r w:rsidRPr="007D46FC">
        <w:rPr>
          <w:szCs w:val="24"/>
          <w:u w:val="single"/>
        </w:rPr>
        <w:tab/>
      </w:r>
      <w:r w:rsidRPr="007D46FC">
        <w:rPr>
          <w:szCs w:val="24"/>
          <w:u w:val="single"/>
        </w:rPr>
        <w:tab/>
      </w:r>
      <w:r w:rsidRPr="007D46FC">
        <w:rPr>
          <w:szCs w:val="24"/>
          <w:u w:val="single"/>
        </w:rPr>
        <w:tab/>
        <w:t>Date</w:t>
      </w:r>
      <w:r w:rsidRPr="007D46FC">
        <w:rPr>
          <w:szCs w:val="24"/>
          <w:u w:val="single"/>
        </w:rPr>
        <w:tab/>
      </w:r>
      <w:r w:rsidRPr="007D46FC">
        <w:rPr>
          <w:szCs w:val="24"/>
          <w:u w:val="single"/>
        </w:rPr>
        <w:tab/>
      </w:r>
      <w:r w:rsidRPr="007D46FC">
        <w:rPr>
          <w:szCs w:val="24"/>
          <w:u w:val="single"/>
        </w:rPr>
        <w:tab/>
      </w:r>
      <w:r w:rsidRPr="007D46FC">
        <w:rPr>
          <w:szCs w:val="24"/>
          <w:u w:val="single"/>
        </w:rPr>
        <w:tab/>
      </w:r>
    </w:p>
    <w:p w14:paraId="18902B75" w14:textId="77777777" w:rsidR="00CC1E11" w:rsidRPr="007D46FC" w:rsidRDefault="00CC1E11" w:rsidP="006970CC">
      <w:pPr>
        <w:jc w:val="both"/>
        <w:rPr>
          <w:spacing w:val="0"/>
        </w:rPr>
      </w:pPr>
    </w:p>
    <w:p w14:paraId="6DDFDD9A" w14:textId="77777777" w:rsidR="0000738F" w:rsidRPr="007D46FC" w:rsidRDefault="0000738F" w:rsidP="006970CC">
      <w:pPr>
        <w:jc w:val="both"/>
        <w:rPr>
          <w:spacing w:val="0"/>
        </w:rPr>
      </w:pPr>
    </w:p>
    <w:sectPr w:rsidR="0000738F" w:rsidRPr="007D46FC" w:rsidSect="006970CC">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BB794" w14:textId="77777777" w:rsidR="000E3B4B" w:rsidRDefault="000E3B4B" w:rsidP="00C7721D">
      <w:r>
        <w:separator/>
      </w:r>
    </w:p>
  </w:endnote>
  <w:endnote w:type="continuationSeparator" w:id="0">
    <w:p w14:paraId="595B77B2" w14:textId="77777777" w:rsidR="000E3B4B" w:rsidRDefault="000E3B4B" w:rsidP="00C7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1D96" w14:textId="77777777" w:rsidR="00C7721D" w:rsidRPr="00470A9C" w:rsidRDefault="00C7721D" w:rsidP="00C7721D">
    <w:pPr>
      <w:pBdr>
        <w:bottom w:val="single" w:sz="12" w:space="0" w:color="auto"/>
      </w:pBdr>
      <w:rPr>
        <w:rFonts w:eastAsiaTheme="minorHAnsi" w:cstheme="minorBidi"/>
        <w:bCs w:val="0"/>
        <w:spacing w:val="0"/>
        <w:sz w:val="20"/>
        <w:szCs w:val="20"/>
      </w:rPr>
    </w:pPr>
  </w:p>
  <w:p w14:paraId="3E5CEA85" w14:textId="77777777" w:rsidR="00C7721D" w:rsidRPr="00470A9C" w:rsidRDefault="00C7721D" w:rsidP="00C7721D">
    <w:pPr>
      <w:tabs>
        <w:tab w:val="left" w:pos="2340"/>
      </w:tabs>
      <w:jc w:val="center"/>
      <w:rPr>
        <w:rFonts w:eastAsiaTheme="minorHAnsi" w:cstheme="minorBidi"/>
        <w:bCs w:val="0"/>
        <w:spacing w:val="0"/>
        <w:sz w:val="20"/>
        <w:szCs w:val="20"/>
      </w:rPr>
    </w:pPr>
  </w:p>
  <w:p w14:paraId="0D9DC0CB" w14:textId="77777777" w:rsidR="00C7721D" w:rsidRPr="00470A9C" w:rsidRDefault="00A856E7" w:rsidP="00C7721D">
    <w:pPr>
      <w:tabs>
        <w:tab w:val="left" w:pos="2340"/>
      </w:tabs>
      <w:jc w:val="center"/>
      <w:rPr>
        <w:rFonts w:eastAsiaTheme="minorHAnsi" w:cstheme="minorBidi"/>
        <w:bCs w:val="0"/>
        <w:spacing w:val="0"/>
        <w:sz w:val="20"/>
        <w:szCs w:val="20"/>
      </w:rPr>
    </w:pPr>
    <w:r>
      <w:rPr>
        <w:rFonts w:eastAsiaTheme="minorHAnsi" w:cstheme="minorBidi"/>
        <w:bCs w:val="0"/>
        <w:spacing w:val="0"/>
        <w:sz w:val="20"/>
        <w:szCs w:val="20"/>
      </w:rPr>
      <w:t xml:space="preserve">The </w:t>
    </w:r>
    <w:r w:rsidR="00AA6E43">
      <w:rPr>
        <w:rFonts w:eastAsiaTheme="minorHAnsi" w:cstheme="minorBidi"/>
        <w:bCs w:val="0"/>
        <w:spacing w:val="0"/>
        <w:sz w:val="20"/>
        <w:szCs w:val="20"/>
      </w:rPr>
      <w:t xml:space="preserve">Corporate </w:t>
    </w:r>
    <w:r w:rsidR="00C7721D" w:rsidRPr="00470A9C">
      <w:rPr>
        <w:rFonts w:eastAsiaTheme="minorHAnsi" w:cstheme="minorBidi"/>
        <w:bCs w:val="0"/>
        <w:spacing w:val="0"/>
        <w:sz w:val="20"/>
        <w:szCs w:val="20"/>
      </w:rPr>
      <w:t>Compliance Toolkit</w:t>
    </w:r>
    <w:r w:rsidR="00AA6E43">
      <w:rPr>
        <w:rFonts w:eastAsiaTheme="minorHAnsi" w:cstheme="minorBidi"/>
        <w:bCs w:val="0"/>
        <w:spacing w:val="0"/>
        <w:sz w:val="20"/>
        <w:szCs w:val="20"/>
      </w:rPr>
      <w:t xml:space="preserve"> for Health Centers</w:t>
    </w:r>
  </w:p>
  <w:p w14:paraId="77F9E25E" w14:textId="77777777" w:rsidR="00C7721D" w:rsidRPr="00470A9C" w:rsidRDefault="00C7721D" w:rsidP="00C7721D">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 201</w:t>
    </w:r>
    <w:r w:rsidR="00AF68CA">
      <w:rPr>
        <w:rFonts w:eastAsiaTheme="minorHAnsi" w:cstheme="minorBidi"/>
        <w:bCs w:val="0"/>
        <w:spacing w:val="0"/>
        <w:sz w:val="20"/>
        <w:szCs w:val="20"/>
        <w:lang w:val="de-DE"/>
      </w:rPr>
      <w:t>5</w:t>
    </w:r>
    <w:r w:rsidRPr="00470A9C">
      <w:rPr>
        <w:rFonts w:eastAsiaTheme="minorHAnsi" w:cstheme="minorBidi"/>
        <w:bCs w:val="0"/>
        <w:spacing w:val="0"/>
        <w:sz w:val="20"/>
        <w:szCs w:val="20"/>
        <w:lang w:val="de-DE"/>
      </w:rPr>
      <w:t xml:space="preserve"> </w:t>
    </w:r>
    <w:r w:rsidRPr="00470A9C">
      <w:rPr>
        <w:rFonts w:eastAsiaTheme="minorHAnsi" w:cstheme="minorBidi"/>
        <w:bCs w:val="0"/>
        <w:spacing w:val="0"/>
        <w:sz w:val="20"/>
        <w:szCs w:val="20"/>
      </w:rPr>
      <w:t>National Association of Community Health Centers, Inc.</w:t>
    </w:r>
  </w:p>
  <w:p w14:paraId="486E19F2" w14:textId="77777777" w:rsidR="00C7721D" w:rsidRPr="00470A9C" w:rsidRDefault="00C7721D" w:rsidP="00C7721D">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and Feldesman Tucker Leifer Fidell LLP</w:t>
    </w:r>
  </w:p>
  <w:p w14:paraId="42E64509" w14:textId="77777777" w:rsidR="00C7721D" w:rsidRPr="00470A9C" w:rsidRDefault="00C7721D" w:rsidP="00C7721D">
    <w:pPr>
      <w:tabs>
        <w:tab w:val="left" w:pos="2340"/>
      </w:tabs>
      <w:jc w:val="center"/>
      <w:rPr>
        <w:rFonts w:eastAsiaTheme="minorHAnsi" w:cstheme="minorBidi"/>
        <w:bCs w:val="0"/>
        <w:spacing w:val="0"/>
        <w:sz w:val="20"/>
        <w:szCs w:val="20"/>
      </w:rPr>
    </w:pPr>
  </w:p>
  <w:p w14:paraId="16F3483C" w14:textId="77777777" w:rsidR="00C7721D" w:rsidRPr="00A856E7" w:rsidRDefault="00C7721D" w:rsidP="00A856E7">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rPr>
      <w:fldChar w:fldCharType="begin"/>
    </w:r>
    <w:r w:rsidRPr="00470A9C">
      <w:rPr>
        <w:rFonts w:eastAsiaTheme="minorHAnsi" w:cstheme="minorBidi"/>
        <w:bCs w:val="0"/>
        <w:spacing w:val="0"/>
        <w:sz w:val="20"/>
        <w:szCs w:val="20"/>
      </w:rPr>
      <w:instrText xml:space="preserve"> PAGE </w:instrText>
    </w:r>
    <w:r w:rsidRPr="00470A9C">
      <w:rPr>
        <w:rFonts w:eastAsiaTheme="minorHAnsi" w:cstheme="minorBidi"/>
        <w:bCs w:val="0"/>
        <w:spacing w:val="0"/>
        <w:sz w:val="20"/>
        <w:szCs w:val="20"/>
      </w:rPr>
      <w:fldChar w:fldCharType="separate"/>
    </w:r>
    <w:r w:rsidR="00707443">
      <w:rPr>
        <w:rFonts w:eastAsiaTheme="minorHAnsi" w:cstheme="minorBidi"/>
        <w:bCs w:val="0"/>
        <w:noProof/>
        <w:spacing w:val="0"/>
        <w:sz w:val="20"/>
        <w:szCs w:val="20"/>
      </w:rPr>
      <w:t>1</w:t>
    </w:r>
    <w:r w:rsidRPr="00470A9C">
      <w:rPr>
        <w:rFonts w:eastAsiaTheme="minorHAnsi" w:cstheme="minorBidi"/>
        <w:bCs w:val="0"/>
        <w:spacing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593AD" w14:textId="77777777" w:rsidR="000E3B4B" w:rsidRDefault="000E3B4B" w:rsidP="00C7721D">
      <w:r>
        <w:separator/>
      </w:r>
    </w:p>
  </w:footnote>
  <w:footnote w:type="continuationSeparator" w:id="0">
    <w:p w14:paraId="12691165" w14:textId="77777777" w:rsidR="000E3B4B" w:rsidRDefault="000E3B4B" w:rsidP="00C7721D">
      <w:r>
        <w:continuationSeparator/>
      </w:r>
    </w:p>
  </w:footnote>
  <w:footnote w:id="1">
    <w:p w14:paraId="7E9CAB4C" w14:textId="77777777" w:rsidR="00C7721D" w:rsidRPr="007D46FC" w:rsidRDefault="00C7721D" w:rsidP="006970CC">
      <w:pPr>
        <w:pStyle w:val="FootnoteText"/>
        <w:ind w:left="360" w:hanging="360"/>
        <w:rPr>
          <w:spacing w:val="0"/>
        </w:rPr>
      </w:pPr>
      <w:r>
        <w:rPr>
          <w:rStyle w:val="FootnoteReference"/>
        </w:rPr>
        <w:footnoteRef/>
      </w:r>
      <w:r>
        <w:t xml:space="preserve"> </w:t>
      </w:r>
      <w:r w:rsidR="006970CC">
        <w:tab/>
      </w:r>
      <w:r w:rsidRPr="007D46FC">
        <w:rPr>
          <w:spacing w:val="0"/>
        </w:rPr>
        <w:t>The Authors of these materials include attorneys at the law firm of Feld</w:t>
      </w:r>
      <w:r w:rsidR="00253B0D" w:rsidRPr="007D46FC">
        <w:rPr>
          <w:spacing w:val="0"/>
        </w:rPr>
        <w:t>esman Tucker Leifer Fidell LLP.</w:t>
      </w:r>
      <w:r w:rsidRPr="007D46FC">
        <w:rPr>
          <w:spacing w:val="0"/>
        </w:rPr>
        <w:t xml:space="preserve"> The sample documents offer general guidance based on </w:t>
      </w:r>
      <w:bookmarkStart w:id="0" w:name="_GoBack"/>
      <w:bookmarkEnd w:id="0"/>
      <w:r w:rsidRPr="007D46FC">
        <w:rPr>
          <w:spacing w:val="0"/>
        </w:rPr>
        <w:t>f</w:t>
      </w:r>
      <w:r w:rsidR="00A856E7" w:rsidRPr="007D46FC">
        <w:rPr>
          <w:spacing w:val="0"/>
        </w:rPr>
        <w:t xml:space="preserve">ederal law and regulations </w:t>
      </w:r>
      <w:r w:rsidRPr="007D46FC">
        <w:rPr>
          <w:spacing w:val="0"/>
        </w:rPr>
        <w:t xml:space="preserve">and do not necessarily apply to all </w:t>
      </w:r>
      <w:r w:rsidR="00253B0D" w:rsidRPr="007D46FC">
        <w:rPr>
          <w:spacing w:val="0"/>
        </w:rPr>
        <w:t>health c</w:t>
      </w:r>
      <w:r w:rsidR="00AF68CA" w:rsidRPr="007D46FC">
        <w:rPr>
          <w:spacing w:val="0"/>
        </w:rPr>
        <w:t>enter</w:t>
      </w:r>
      <w:r w:rsidRPr="007D46FC">
        <w:rPr>
          <w:spacing w:val="0"/>
        </w:rPr>
        <w:t>s unde</w:t>
      </w:r>
      <w:r w:rsidR="00253B0D" w:rsidRPr="007D46FC">
        <w:rPr>
          <w:spacing w:val="0"/>
        </w:rPr>
        <w:t xml:space="preserve">r all facts and circumstances. </w:t>
      </w:r>
      <w:r w:rsidRPr="007D46FC">
        <w:rPr>
          <w:spacing w:val="0"/>
        </w:rPr>
        <w:t>Further, these materials do not replace, and are not a substitute for, legal advice from qualified legal counsel.</w:t>
      </w:r>
    </w:p>
  </w:footnote>
  <w:footnote w:id="2">
    <w:p w14:paraId="5B6472DA" w14:textId="77777777" w:rsidR="00C7721D" w:rsidRDefault="00C7721D" w:rsidP="006970CC">
      <w:pPr>
        <w:pStyle w:val="FootnoteText"/>
        <w:ind w:left="360" w:hanging="360"/>
      </w:pPr>
      <w:r w:rsidRPr="007D46FC">
        <w:rPr>
          <w:rStyle w:val="FootnoteReference"/>
          <w:spacing w:val="0"/>
        </w:rPr>
        <w:footnoteRef/>
      </w:r>
      <w:r w:rsidRPr="007D46FC">
        <w:rPr>
          <w:spacing w:val="0"/>
        </w:rPr>
        <w:t xml:space="preserve"> </w:t>
      </w:r>
      <w:r w:rsidR="006970CC" w:rsidRPr="007D46FC">
        <w:rPr>
          <w:spacing w:val="0"/>
        </w:rPr>
        <w:tab/>
      </w:r>
      <w:r w:rsidR="00EA56E6" w:rsidRPr="007D46FC">
        <w:rPr>
          <w:spacing w:val="0"/>
        </w:rPr>
        <w:t xml:space="preserve">Authors’ note: </w:t>
      </w:r>
      <w:r w:rsidRPr="007D46FC">
        <w:rPr>
          <w:spacing w:val="0"/>
        </w:rPr>
        <w:t xml:space="preserve">Using the following sample as a guide, </w:t>
      </w:r>
      <w:r w:rsidR="00D569C3" w:rsidRPr="007D46FC">
        <w:rPr>
          <w:spacing w:val="0"/>
        </w:rPr>
        <w:t>health c</w:t>
      </w:r>
      <w:r w:rsidR="00AF68CA" w:rsidRPr="007D46FC">
        <w:rPr>
          <w:spacing w:val="0"/>
        </w:rPr>
        <w:t>enter</w:t>
      </w:r>
      <w:r w:rsidRPr="007D46FC">
        <w:rPr>
          <w:spacing w:val="0"/>
        </w:rPr>
        <w:t>s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7956D" w14:textId="77777777" w:rsidR="00C7721D" w:rsidRPr="007D46FC" w:rsidRDefault="00C7721D" w:rsidP="00C7721D">
    <w:pPr>
      <w:jc w:val="center"/>
      <w:rPr>
        <w:spacing w:val="0"/>
        <w:sz w:val="20"/>
      </w:rPr>
    </w:pPr>
    <w:r w:rsidRPr="007D46FC">
      <w:rPr>
        <w:spacing w:val="0"/>
        <w:sz w:val="20"/>
      </w:rPr>
      <w:t xml:space="preserve">Volume II: </w:t>
    </w:r>
    <w:r w:rsidR="006970CC" w:rsidRPr="007D46FC">
      <w:rPr>
        <w:spacing w:val="0"/>
        <w:sz w:val="20"/>
      </w:rPr>
      <w:t xml:space="preserve"> </w:t>
    </w:r>
    <w:r w:rsidR="00AF68CA" w:rsidRPr="007D46FC">
      <w:rPr>
        <w:spacing w:val="0"/>
        <w:sz w:val="20"/>
      </w:rPr>
      <w:t>Health Center</w:t>
    </w:r>
    <w:r w:rsidRPr="007D46FC">
      <w:rPr>
        <w:spacing w:val="0"/>
        <w:sz w:val="20"/>
      </w:rPr>
      <w:t xml:space="preserve"> Risk Areas</w:t>
    </w:r>
  </w:p>
  <w:p w14:paraId="437C3FE1" w14:textId="77777777" w:rsidR="00C7721D" w:rsidRPr="007D46FC" w:rsidRDefault="00C7721D" w:rsidP="00C7721D">
    <w:pPr>
      <w:pBdr>
        <w:bottom w:val="single" w:sz="12" w:space="0" w:color="auto"/>
      </w:pBdr>
      <w:jc w:val="center"/>
      <w:rPr>
        <w:spacing w:val="0"/>
        <w:sz w:val="20"/>
      </w:rPr>
    </w:pPr>
    <w:r w:rsidRPr="007D46FC">
      <w:rPr>
        <w:spacing w:val="0"/>
        <w:sz w:val="20"/>
      </w:rPr>
      <w:t>Federal Grants Management</w:t>
    </w:r>
  </w:p>
  <w:p w14:paraId="10AB66F2" w14:textId="77777777" w:rsidR="00C7721D" w:rsidRPr="00F354EE" w:rsidRDefault="00C7721D" w:rsidP="00C7721D">
    <w:pPr>
      <w:pBdr>
        <w:bottom w:val="single" w:sz="12" w:space="0" w:color="auto"/>
      </w:pBdr>
      <w:jc w:val="center"/>
      <w:rPr>
        <w:sz w:val="20"/>
      </w:rPr>
    </w:pPr>
  </w:p>
  <w:p w14:paraId="1A98FAFA" w14:textId="77777777" w:rsidR="00C7721D" w:rsidRDefault="00C77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D2117"/>
    <w:multiLevelType w:val="hybridMultilevel"/>
    <w:tmpl w:val="82766126"/>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1A"/>
    <w:rsid w:val="0000738F"/>
    <w:rsid w:val="000B211E"/>
    <w:rsid w:val="000B4285"/>
    <w:rsid w:val="000E3B4B"/>
    <w:rsid w:val="00186080"/>
    <w:rsid w:val="00203964"/>
    <w:rsid w:val="00235D7B"/>
    <w:rsid w:val="00253B0D"/>
    <w:rsid w:val="002A04E1"/>
    <w:rsid w:val="00324D3D"/>
    <w:rsid w:val="00342D3A"/>
    <w:rsid w:val="0036018B"/>
    <w:rsid w:val="003C2E28"/>
    <w:rsid w:val="00402749"/>
    <w:rsid w:val="00425550"/>
    <w:rsid w:val="00441B6E"/>
    <w:rsid w:val="004802A9"/>
    <w:rsid w:val="004C2C28"/>
    <w:rsid w:val="00585898"/>
    <w:rsid w:val="005C0006"/>
    <w:rsid w:val="005F1106"/>
    <w:rsid w:val="006136C8"/>
    <w:rsid w:val="006970CC"/>
    <w:rsid w:val="006B17FF"/>
    <w:rsid w:val="00707443"/>
    <w:rsid w:val="00731C5C"/>
    <w:rsid w:val="007625CD"/>
    <w:rsid w:val="007D46FC"/>
    <w:rsid w:val="007F6206"/>
    <w:rsid w:val="00852CEB"/>
    <w:rsid w:val="008A7438"/>
    <w:rsid w:val="008C65EA"/>
    <w:rsid w:val="00914D44"/>
    <w:rsid w:val="00920444"/>
    <w:rsid w:val="00947EDD"/>
    <w:rsid w:val="00957401"/>
    <w:rsid w:val="009A47FE"/>
    <w:rsid w:val="009C42AA"/>
    <w:rsid w:val="00A511E3"/>
    <w:rsid w:val="00A856E7"/>
    <w:rsid w:val="00AA6E43"/>
    <w:rsid w:val="00AD741A"/>
    <w:rsid w:val="00AF68CA"/>
    <w:rsid w:val="00B32815"/>
    <w:rsid w:val="00BD23E9"/>
    <w:rsid w:val="00C002AC"/>
    <w:rsid w:val="00C130E8"/>
    <w:rsid w:val="00C7721D"/>
    <w:rsid w:val="00CB6A42"/>
    <w:rsid w:val="00CC1E11"/>
    <w:rsid w:val="00D02674"/>
    <w:rsid w:val="00D503B5"/>
    <w:rsid w:val="00D569C3"/>
    <w:rsid w:val="00DA5DD4"/>
    <w:rsid w:val="00DB2F67"/>
    <w:rsid w:val="00EA56E6"/>
    <w:rsid w:val="00FB4A1B"/>
    <w:rsid w:val="00F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E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A"/>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AD741A"/>
    <w:pPr>
      <w:keepNext/>
      <w:jc w:val="center"/>
      <w:outlineLvl w:val="0"/>
    </w:pPr>
    <w:rPr>
      <w:sz w:val="32"/>
    </w:rPr>
  </w:style>
  <w:style w:type="paragraph" w:styleId="Heading2">
    <w:name w:val="heading 2"/>
    <w:basedOn w:val="Normal"/>
    <w:next w:val="Normal"/>
    <w:link w:val="Heading2Char"/>
    <w:qFormat/>
    <w:rsid w:val="00AD741A"/>
    <w:pPr>
      <w:keepNext/>
      <w:outlineLvl w:val="1"/>
    </w:pPr>
    <w:rPr>
      <w:sz w:val="36"/>
    </w:rPr>
  </w:style>
  <w:style w:type="paragraph" w:styleId="Heading3">
    <w:name w:val="heading 3"/>
    <w:basedOn w:val="Normal"/>
    <w:next w:val="Normal"/>
    <w:link w:val="Heading3Char"/>
    <w:qFormat/>
    <w:rsid w:val="00AD741A"/>
    <w:pPr>
      <w:keepNext/>
      <w:jc w:val="both"/>
      <w:outlineLvl w:val="2"/>
    </w:pPr>
    <w:rPr>
      <w:bCs w:val="0"/>
      <w:spacing w:val="0"/>
      <w:szCs w:val="20"/>
      <w:u w:val="single"/>
    </w:rPr>
  </w:style>
  <w:style w:type="paragraph" w:styleId="Heading4">
    <w:name w:val="heading 4"/>
    <w:basedOn w:val="Normal"/>
    <w:next w:val="Normal"/>
    <w:link w:val="Heading4Char"/>
    <w:qFormat/>
    <w:rsid w:val="00AD741A"/>
    <w:pPr>
      <w:keepNext/>
      <w:ind w:firstLine="3600"/>
      <w:outlineLvl w:val="3"/>
    </w:pPr>
    <w:rPr>
      <w:b/>
      <w:bCs w:val="0"/>
    </w:rPr>
  </w:style>
  <w:style w:type="paragraph" w:styleId="Heading6">
    <w:name w:val="heading 6"/>
    <w:basedOn w:val="Normal"/>
    <w:next w:val="Normal"/>
    <w:link w:val="Heading6Char"/>
    <w:qFormat/>
    <w:rsid w:val="00AD741A"/>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AD741A"/>
    <w:rPr>
      <w:rFonts w:ascii="Times New Roman" w:eastAsia="Times New Roman" w:hAnsi="Times New Roman" w:cs="Times New Roman"/>
      <w:bCs/>
      <w:spacing w:val="-3"/>
      <w:sz w:val="32"/>
      <w:szCs w:val="24"/>
    </w:rPr>
  </w:style>
  <w:style w:type="character" w:customStyle="1" w:styleId="Heading2Char">
    <w:name w:val="Heading 2 Char"/>
    <w:basedOn w:val="DefaultParagraphFont"/>
    <w:link w:val="Heading2"/>
    <w:rsid w:val="00AD741A"/>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AD741A"/>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AD741A"/>
    <w:rPr>
      <w:rFonts w:ascii="Times New Roman" w:eastAsia="Times New Roman" w:hAnsi="Times New Roman" w:cs="Times New Roman"/>
      <w:b/>
      <w:spacing w:val="-3"/>
      <w:sz w:val="24"/>
      <w:szCs w:val="24"/>
    </w:rPr>
  </w:style>
  <w:style w:type="character" w:customStyle="1" w:styleId="Heading6Char">
    <w:name w:val="Heading 6 Char"/>
    <w:basedOn w:val="DefaultParagraphFont"/>
    <w:link w:val="Heading6"/>
    <w:rsid w:val="00AD741A"/>
    <w:rPr>
      <w:rFonts w:ascii="Times New Roman" w:eastAsia="Times New Roman" w:hAnsi="Times New Roman" w:cs="Times New Roman"/>
      <w:b/>
      <w:spacing w:val="-3"/>
      <w:sz w:val="24"/>
      <w:szCs w:val="24"/>
    </w:rPr>
  </w:style>
  <w:style w:type="paragraph" w:styleId="BodyText">
    <w:name w:val="Body Text"/>
    <w:basedOn w:val="Normal"/>
    <w:link w:val="BodyTextChar"/>
    <w:rsid w:val="00AD741A"/>
    <w:pPr>
      <w:jc w:val="center"/>
    </w:pPr>
    <w:rPr>
      <w:sz w:val="48"/>
    </w:rPr>
  </w:style>
  <w:style w:type="character" w:customStyle="1" w:styleId="BodyTextChar">
    <w:name w:val="Body Text Char"/>
    <w:basedOn w:val="DefaultParagraphFont"/>
    <w:link w:val="BodyText"/>
    <w:rsid w:val="00AD741A"/>
    <w:rPr>
      <w:rFonts w:ascii="Times New Roman" w:eastAsia="Times New Roman" w:hAnsi="Times New Roman" w:cs="Times New Roman"/>
      <w:bCs/>
      <w:spacing w:val="-3"/>
      <w:sz w:val="48"/>
      <w:szCs w:val="24"/>
    </w:rPr>
  </w:style>
  <w:style w:type="paragraph" w:styleId="Footer">
    <w:name w:val="footer"/>
    <w:basedOn w:val="Normal"/>
    <w:link w:val="FooterChar"/>
    <w:uiPriority w:val="99"/>
    <w:rsid w:val="00AD741A"/>
    <w:pPr>
      <w:tabs>
        <w:tab w:val="center" w:pos="4320"/>
        <w:tab w:val="right" w:pos="8640"/>
      </w:tabs>
    </w:pPr>
  </w:style>
  <w:style w:type="character" w:customStyle="1" w:styleId="FooterChar">
    <w:name w:val="Footer Char"/>
    <w:basedOn w:val="DefaultParagraphFont"/>
    <w:link w:val="Footer"/>
    <w:uiPriority w:val="99"/>
    <w:rsid w:val="00AD741A"/>
    <w:rPr>
      <w:rFonts w:ascii="Times New Roman" w:eastAsia="Times New Roman" w:hAnsi="Times New Roman" w:cs="Times New Roman"/>
      <w:bCs/>
      <w:spacing w:val="-3"/>
      <w:sz w:val="24"/>
      <w:szCs w:val="24"/>
    </w:rPr>
  </w:style>
  <w:style w:type="paragraph" w:customStyle="1" w:styleId="3">
    <w:name w:val="3)"/>
    <w:basedOn w:val="Normal"/>
    <w:rsid w:val="00AD741A"/>
    <w:pPr>
      <w:jc w:val="both"/>
    </w:pPr>
    <w:rPr>
      <w:bCs w:val="0"/>
      <w:spacing w:val="0"/>
      <w:szCs w:val="20"/>
    </w:rPr>
  </w:style>
  <w:style w:type="paragraph" w:styleId="Header">
    <w:name w:val="header"/>
    <w:basedOn w:val="Normal"/>
    <w:link w:val="HeaderChar"/>
    <w:uiPriority w:val="99"/>
    <w:unhideWhenUsed/>
    <w:rsid w:val="00C7721D"/>
    <w:pPr>
      <w:tabs>
        <w:tab w:val="center" w:pos="4680"/>
        <w:tab w:val="right" w:pos="9360"/>
      </w:tabs>
    </w:pPr>
  </w:style>
  <w:style w:type="character" w:customStyle="1" w:styleId="HeaderChar">
    <w:name w:val="Header Char"/>
    <w:basedOn w:val="DefaultParagraphFont"/>
    <w:link w:val="Header"/>
    <w:uiPriority w:val="99"/>
    <w:rsid w:val="00C7721D"/>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C7721D"/>
    <w:rPr>
      <w:rFonts w:ascii="Tahoma" w:hAnsi="Tahoma" w:cs="Tahoma"/>
      <w:sz w:val="16"/>
      <w:szCs w:val="16"/>
    </w:rPr>
  </w:style>
  <w:style w:type="character" w:customStyle="1" w:styleId="BalloonTextChar">
    <w:name w:val="Balloon Text Char"/>
    <w:basedOn w:val="DefaultParagraphFont"/>
    <w:link w:val="BalloonText"/>
    <w:uiPriority w:val="99"/>
    <w:semiHidden/>
    <w:rsid w:val="00C7721D"/>
    <w:rPr>
      <w:rFonts w:ascii="Tahoma" w:eastAsia="Times New Roman" w:hAnsi="Tahoma" w:cs="Tahoma"/>
      <w:bCs/>
      <w:spacing w:val="-3"/>
      <w:sz w:val="16"/>
      <w:szCs w:val="16"/>
    </w:rPr>
  </w:style>
  <w:style w:type="paragraph" w:styleId="FootnoteText">
    <w:name w:val="footnote text"/>
    <w:basedOn w:val="Normal"/>
    <w:link w:val="FootnoteTextChar"/>
    <w:uiPriority w:val="99"/>
    <w:semiHidden/>
    <w:unhideWhenUsed/>
    <w:rsid w:val="00C7721D"/>
    <w:rPr>
      <w:sz w:val="20"/>
      <w:szCs w:val="20"/>
    </w:rPr>
  </w:style>
  <w:style w:type="character" w:customStyle="1" w:styleId="FootnoteTextChar">
    <w:name w:val="Footnote Text Char"/>
    <w:basedOn w:val="DefaultParagraphFont"/>
    <w:link w:val="FootnoteText"/>
    <w:uiPriority w:val="99"/>
    <w:semiHidden/>
    <w:rsid w:val="00C7721D"/>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C7721D"/>
    <w:rPr>
      <w:vertAlign w:val="superscript"/>
    </w:rPr>
  </w:style>
  <w:style w:type="character" w:styleId="Hyperlink">
    <w:name w:val="Hyperlink"/>
    <w:basedOn w:val="DefaultParagraphFont"/>
    <w:uiPriority w:val="99"/>
    <w:unhideWhenUsed/>
    <w:rsid w:val="00EA5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A"/>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AD741A"/>
    <w:pPr>
      <w:keepNext/>
      <w:jc w:val="center"/>
      <w:outlineLvl w:val="0"/>
    </w:pPr>
    <w:rPr>
      <w:sz w:val="32"/>
    </w:rPr>
  </w:style>
  <w:style w:type="paragraph" w:styleId="Heading2">
    <w:name w:val="heading 2"/>
    <w:basedOn w:val="Normal"/>
    <w:next w:val="Normal"/>
    <w:link w:val="Heading2Char"/>
    <w:qFormat/>
    <w:rsid w:val="00AD741A"/>
    <w:pPr>
      <w:keepNext/>
      <w:outlineLvl w:val="1"/>
    </w:pPr>
    <w:rPr>
      <w:sz w:val="36"/>
    </w:rPr>
  </w:style>
  <w:style w:type="paragraph" w:styleId="Heading3">
    <w:name w:val="heading 3"/>
    <w:basedOn w:val="Normal"/>
    <w:next w:val="Normal"/>
    <w:link w:val="Heading3Char"/>
    <w:qFormat/>
    <w:rsid w:val="00AD741A"/>
    <w:pPr>
      <w:keepNext/>
      <w:jc w:val="both"/>
      <w:outlineLvl w:val="2"/>
    </w:pPr>
    <w:rPr>
      <w:bCs w:val="0"/>
      <w:spacing w:val="0"/>
      <w:szCs w:val="20"/>
      <w:u w:val="single"/>
    </w:rPr>
  </w:style>
  <w:style w:type="paragraph" w:styleId="Heading4">
    <w:name w:val="heading 4"/>
    <w:basedOn w:val="Normal"/>
    <w:next w:val="Normal"/>
    <w:link w:val="Heading4Char"/>
    <w:qFormat/>
    <w:rsid w:val="00AD741A"/>
    <w:pPr>
      <w:keepNext/>
      <w:ind w:firstLine="3600"/>
      <w:outlineLvl w:val="3"/>
    </w:pPr>
    <w:rPr>
      <w:b/>
      <w:bCs w:val="0"/>
    </w:rPr>
  </w:style>
  <w:style w:type="paragraph" w:styleId="Heading6">
    <w:name w:val="heading 6"/>
    <w:basedOn w:val="Normal"/>
    <w:next w:val="Normal"/>
    <w:link w:val="Heading6Char"/>
    <w:qFormat/>
    <w:rsid w:val="00AD741A"/>
    <w:pPr>
      <w:keepNext/>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AD741A"/>
    <w:rPr>
      <w:rFonts w:ascii="Times New Roman" w:eastAsia="Times New Roman" w:hAnsi="Times New Roman" w:cs="Times New Roman"/>
      <w:bCs/>
      <w:spacing w:val="-3"/>
      <w:sz w:val="32"/>
      <w:szCs w:val="24"/>
    </w:rPr>
  </w:style>
  <w:style w:type="character" w:customStyle="1" w:styleId="Heading2Char">
    <w:name w:val="Heading 2 Char"/>
    <w:basedOn w:val="DefaultParagraphFont"/>
    <w:link w:val="Heading2"/>
    <w:rsid w:val="00AD741A"/>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AD741A"/>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AD741A"/>
    <w:rPr>
      <w:rFonts w:ascii="Times New Roman" w:eastAsia="Times New Roman" w:hAnsi="Times New Roman" w:cs="Times New Roman"/>
      <w:b/>
      <w:spacing w:val="-3"/>
      <w:sz w:val="24"/>
      <w:szCs w:val="24"/>
    </w:rPr>
  </w:style>
  <w:style w:type="character" w:customStyle="1" w:styleId="Heading6Char">
    <w:name w:val="Heading 6 Char"/>
    <w:basedOn w:val="DefaultParagraphFont"/>
    <w:link w:val="Heading6"/>
    <w:rsid w:val="00AD741A"/>
    <w:rPr>
      <w:rFonts w:ascii="Times New Roman" w:eastAsia="Times New Roman" w:hAnsi="Times New Roman" w:cs="Times New Roman"/>
      <w:b/>
      <w:spacing w:val="-3"/>
      <w:sz w:val="24"/>
      <w:szCs w:val="24"/>
    </w:rPr>
  </w:style>
  <w:style w:type="paragraph" w:styleId="BodyText">
    <w:name w:val="Body Text"/>
    <w:basedOn w:val="Normal"/>
    <w:link w:val="BodyTextChar"/>
    <w:rsid w:val="00AD741A"/>
    <w:pPr>
      <w:jc w:val="center"/>
    </w:pPr>
    <w:rPr>
      <w:sz w:val="48"/>
    </w:rPr>
  </w:style>
  <w:style w:type="character" w:customStyle="1" w:styleId="BodyTextChar">
    <w:name w:val="Body Text Char"/>
    <w:basedOn w:val="DefaultParagraphFont"/>
    <w:link w:val="BodyText"/>
    <w:rsid w:val="00AD741A"/>
    <w:rPr>
      <w:rFonts w:ascii="Times New Roman" w:eastAsia="Times New Roman" w:hAnsi="Times New Roman" w:cs="Times New Roman"/>
      <w:bCs/>
      <w:spacing w:val="-3"/>
      <w:sz w:val="48"/>
      <w:szCs w:val="24"/>
    </w:rPr>
  </w:style>
  <w:style w:type="paragraph" w:styleId="Footer">
    <w:name w:val="footer"/>
    <w:basedOn w:val="Normal"/>
    <w:link w:val="FooterChar"/>
    <w:uiPriority w:val="99"/>
    <w:rsid w:val="00AD741A"/>
    <w:pPr>
      <w:tabs>
        <w:tab w:val="center" w:pos="4320"/>
        <w:tab w:val="right" w:pos="8640"/>
      </w:tabs>
    </w:pPr>
  </w:style>
  <w:style w:type="character" w:customStyle="1" w:styleId="FooterChar">
    <w:name w:val="Footer Char"/>
    <w:basedOn w:val="DefaultParagraphFont"/>
    <w:link w:val="Footer"/>
    <w:uiPriority w:val="99"/>
    <w:rsid w:val="00AD741A"/>
    <w:rPr>
      <w:rFonts w:ascii="Times New Roman" w:eastAsia="Times New Roman" w:hAnsi="Times New Roman" w:cs="Times New Roman"/>
      <w:bCs/>
      <w:spacing w:val="-3"/>
      <w:sz w:val="24"/>
      <w:szCs w:val="24"/>
    </w:rPr>
  </w:style>
  <w:style w:type="paragraph" w:customStyle="1" w:styleId="3">
    <w:name w:val="3)"/>
    <w:basedOn w:val="Normal"/>
    <w:rsid w:val="00AD741A"/>
    <w:pPr>
      <w:jc w:val="both"/>
    </w:pPr>
    <w:rPr>
      <w:bCs w:val="0"/>
      <w:spacing w:val="0"/>
      <w:szCs w:val="20"/>
    </w:rPr>
  </w:style>
  <w:style w:type="paragraph" w:styleId="Header">
    <w:name w:val="header"/>
    <w:basedOn w:val="Normal"/>
    <w:link w:val="HeaderChar"/>
    <w:uiPriority w:val="99"/>
    <w:unhideWhenUsed/>
    <w:rsid w:val="00C7721D"/>
    <w:pPr>
      <w:tabs>
        <w:tab w:val="center" w:pos="4680"/>
        <w:tab w:val="right" w:pos="9360"/>
      </w:tabs>
    </w:pPr>
  </w:style>
  <w:style w:type="character" w:customStyle="1" w:styleId="HeaderChar">
    <w:name w:val="Header Char"/>
    <w:basedOn w:val="DefaultParagraphFont"/>
    <w:link w:val="Header"/>
    <w:uiPriority w:val="99"/>
    <w:rsid w:val="00C7721D"/>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C7721D"/>
    <w:rPr>
      <w:rFonts w:ascii="Tahoma" w:hAnsi="Tahoma" w:cs="Tahoma"/>
      <w:sz w:val="16"/>
      <w:szCs w:val="16"/>
    </w:rPr>
  </w:style>
  <w:style w:type="character" w:customStyle="1" w:styleId="BalloonTextChar">
    <w:name w:val="Balloon Text Char"/>
    <w:basedOn w:val="DefaultParagraphFont"/>
    <w:link w:val="BalloonText"/>
    <w:uiPriority w:val="99"/>
    <w:semiHidden/>
    <w:rsid w:val="00C7721D"/>
    <w:rPr>
      <w:rFonts w:ascii="Tahoma" w:eastAsia="Times New Roman" w:hAnsi="Tahoma" w:cs="Tahoma"/>
      <w:bCs/>
      <w:spacing w:val="-3"/>
      <w:sz w:val="16"/>
      <w:szCs w:val="16"/>
    </w:rPr>
  </w:style>
  <w:style w:type="paragraph" w:styleId="FootnoteText">
    <w:name w:val="footnote text"/>
    <w:basedOn w:val="Normal"/>
    <w:link w:val="FootnoteTextChar"/>
    <w:uiPriority w:val="99"/>
    <w:semiHidden/>
    <w:unhideWhenUsed/>
    <w:rsid w:val="00C7721D"/>
    <w:rPr>
      <w:sz w:val="20"/>
      <w:szCs w:val="20"/>
    </w:rPr>
  </w:style>
  <w:style w:type="character" w:customStyle="1" w:styleId="FootnoteTextChar">
    <w:name w:val="Footnote Text Char"/>
    <w:basedOn w:val="DefaultParagraphFont"/>
    <w:link w:val="FootnoteText"/>
    <w:uiPriority w:val="99"/>
    <w:semiHidden/>
    <w:rsid w:val="00C7721D"/>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C7721D"/>
    <w:rPr>
      <w:vertAlign w:val="superscript"/>
    </w:rPr>
  </w:style>
  <w:style w:type="character" w:styleId="Hyperlink">
    <w:name w:val="Hyperlink"/>
    <w:basedOn w:val="DefaultParagraphFont"/>
    <w:uiPriority w:val="99"/>
    <w:unhideWhenUsed/>
    <w:rsid w:val="00EA5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7D42-1525-4509-B053-69F208E3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2</cp:revision>
  <cp:lastPrinted>2015-11-13T22:19:00Z</cp:lastPrinted>
  <dcterms:created xsi:type="dcterms:W3CDTF">2015-11-16T17:24:00Z</dcterms:created>
  <dcterms:modified xsi:type="dcterms:W3CDTF">2015-11-16T17:24:00Z</dcterms:modified>
</cp:coreProperties>
</file>