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37" w:rsidRPr="001137D2" w:rsidRDefault="00AC61E0" w:rsidP="007743F7">
      <w:pPr>
        <w:autoSpaceDE w:val="0"/>
        <w:autoSpaceDN w:val="0"/>
        <w:adjustRightInd w:val="0"/>
        <w:spacing w:before="11"/>
        <w:jc w:val="center"/>
        <w:rPr>
          <w:rFonts w:ascii="Times New Roman Bold" w:hAnsi="Times New Roman Bold"/>
          <w:b/>
          <w:spacing w:val="0"/>
          <w:kern w:val="2"/>
          <w:sz w:val="32"/>
          <w:szCs w:val="28"/>
        </w:rPr>
      </w:pPr>
      <w:r w:rsidRPr="001137D2">
        <w:rPr>
          <w:rFonts w:ascii="Times New Roman Bold" w:hAnsi="Times New Roman Bold"/>
          <w:b/>
          <w:bCs w:val="0"/>
          <w:spacing w:val="0"/>
          <w:kern w:val="2"/>
          <w:sz w:val="32"/>
          <w:szCs w:val="32"/>
        </w:rPr>
        <w:t>Procuring Non-Audit Services from the Audit Firm</w:t>
      </w:r>
      <w:r w:rsidR="00441137" w:rsidRPr="001137D2">
        <w:rPr>
          <w:rFonts w:ascii="Times New Roman Bold" w:hAnsi="Times New Roman Bold"/>
          <w:b/>
          <w:bCs w:val="0"/>
          <w:spacing w:val="0"/>
          <w:kern w:val="2"/>
          <w:sz w:val="32"/>
          <w:szCs w:val="32"/>
        </w:rPr>
        <w:t>:</w:t>
      </w:r>
    </w:p>
    <w:p w:rsidR="00AC61E0" w:rsidRPr="001137D2" w:rsidRDefault="00441137" w:rsidP="007743F7">
      <w:pPr>
        <w:autoSpaceDE w:val="0"/>
        <w:autoSpaceDN w:val="0"/>
        <w:adjustRightInd w:val="0"/>
        <w:spacing w:before="11"/>
        <w:jc w:val="center"/>
        <w:rPr>
          <w:rFonts w:ascii="Times New Roman Bold" w:hAnsi="Times New Roman Bold"/>
          <w:b/>
          <w:spacing w:val="0"/>
          <w:kern w:val="2"/>
          <w:sz w:val="32"/>
          <w:szCs w:val="28"/>
        </w:rPr>
      </w:pPr>
      <w:r w:rsidRPr="001137D2">
        <w:rPr>
          <w:rFonts w:ascii="Times New Roman Bold" w:hAnsi="Times New Roman Bold"/>
          <w:b/>
          <w:spacing w:val="0"/>
          <w:kern w:val="2"/>
          <w:sz w:val="32"/>
          <w:szCs w:val="28"/>
        </w:rPr>
        <w:t>Introductory Guidance</w:t>
      </w:r>
    </w:p>
    <w:p w:rsidR="00AC61E0" w:rsidRPr="001137D2" w:rsidRDefault="00AC61E0" w:rsidP="00541E5D">
      <w:pPr>
        <w:pBdr>
          <w:bottom w:val="single" w:sz="12" w:space="1" w:color="auto"/>
        </w:pBdr>
        <w:autoSpaceDE w:val="0"/>
        <w:autoSpaceDN w:val="0"/>
        <w:adjustRightInd w:val="0"/>
        <w:ind w:right="-20"/>
        <w:jc w:val="both"/>
        <w:rPr>
          <w:b/>
          <w:bCs w:val="0"/>
          <w:spacing w:val="0"/>
          <w:kern w:val="2"/>
        </w:rPr>
      </w:pPr>
    </w:p>
    <w:p w:rsidR="00A07DCC" w:rsidRPr="001137D2" w:rsidRDefault="00A07DCC" w:rsidP="007743F7">
      <w:pPr>
        <w:jc w:val="both"/>
        <w:rPr>
          <w:bCs w:val="0"/>
          <w:spacing w:val="0"/>
          <w:kern w:val="2"/>
        </w:rPr>
      </w:pPr>
    </w:p>
    <w:p w:rsidR="00A07DCC" w:rsidRPr="001137D2" w:rsidRDefault="00441137" w:rsidP="007743F7">
      <w:pPr>
        <w:jc w:val="both"/>
        <w:rPr>
          <w:bCs w:val="0"/>
          <w:spacing w:val="0"/>
          <w:kern w:val="2"/>
        </w:rPr>
      </w:pPr>
      <w:r w:rsidRPr="001137D2">
        <w:rPr>
          <w:b/>
          <w:bCs w:val="0"/>
          <w:spacing w:val="0"/>
          <w:kern w:val="2"/>
        </w:rPr>
        <w:t>Background</w:t>
      </w:r>
    </w:p>
    <w:p w:rsidR="00A07DCC" w:rsidRPr="001137D2" w:rsidRDefault="00A07DCC" w:rsidP="007743F7">
      <w:pPr>
        <w:ind w:left="720"/>
        <w:jc w:val="both"/>
        <w:rPr>
          <w:bCs w:val="0"/>
          <w:spacing w:val="0"/>
          <w:kern w:val="2"/>
        </w:rPr>
      </w:pPr>
    </w:p>
    <w:p w:rsidR="00A07DCC" w:rsidRPr="001137D2" w:rsidRDefault="00441137" w:rsidP="007743F7">
      <w:pPr>
        <w:jc w:val="both"/>
        <w:rPr>
          <w:bCs w:val="0"/>
          <w:spacing w:val="0"/>
          <w:kern w:val="2"/>
        </w:rPr>
      </w:pPr>
      <w:r w:rsidRPr="001137D2">
        <w:rPr>
          <w:bCs w:val="0"/>
          <w:spacing w:val="0"/>
          <w:kern w:val="2"/>
        </w:rPr>
        <w:t>If a</w:t>
      </w:r>
      <w:r w:rsidR="00A07DCC" w:rsidRPr="001137D2">
        <w:rPr>
          <w:bCs w:val="0"/>
          <w:spacing w:val="0"/>
          <w:kern w:val="2"/>
        </w:rPr>
        <w:t xml:space="preserve"> </w:t>
      </w:r>
      <w:r w:rsidRPr="001137D2">
        <w:rPr>
          <w:bCs w:val="0"/>
          <w:spacing w:val="0"/>
          <w:kern w:val="2"/>
        </w:rPr>
        <w:t>health c</w:t>
      </w:r>
      <w:r w:rsidR="00113AE9" w:rsidRPr="001137D2">
        <w:rPr>
          <w:bCs w:val="0"/>
          <w:spacing w:val="0"/>
          <w:kern w:val="2"/>
        </w:rPr>
        <w:t>enter</w:t>
      </w:r>
      <w:r w:rsidR="00A07DCC" w:rsidRPr="001137D2">
        <w:rPr>
          <w:bCs w:val="0"/>
          <w:spacing w:val="0"/>
          <w:kern w:val="2"/>
        </w:rPr>
        <w:t xml:space="preserve"> intends to procure non-audit services from its audit firm, in addition to the procurement standards and other contracting requirements discussed above, the </w:t>
      </w:r>
      <w:r w:rsidRPr="001137D2">
        <w:rPr>
          <w:bCs w:val="0"/>
          <w:spacing w:val="0"/>
          <w:kern w:val="2"/>
        </w:rPr>
        <w:t>health c</w:t>
      </w:r>
      <w:r w:rsidR="00113AE9" w:rsidRPr="001137D2">
        <w:rPr>
          <w:bCs w:val="0"/>
          <w:spacing w:val="0"/>
          <w:kern w:val="2"/>
        </w:rPr>
        <w:t>enter</w:t>
      </w:r>
      <w:r w:rsidR="00A07DCC" w:rsidRPr="001137D2">
        <w:rPr>
          <w:bCs w:val="0"/>
          <w:spacing w:val="0"/>
          <w:kern w:val="2"/>
        </w:rPr>
        <w:t xml:space="preserve"> must consider the Auditor Independence Standards included in the Generally Accepted Government Auditing Standards (“GAGAS”) (commonly known as the “Yellow Book”), which is issued by the Government Accounting Office (“GAO”).</w:t>
      </w:r>
    </w:p>
    <w:p w:rsidR="00A07DCC" w:rsidRPr="001137D2" w:rsidRDefault="00A07DCC" w:rsidP="007743F7">
      <w:pPr>
        <w:ind w:firstLine="720"/>
        <w:jc w:val="both"/>
        <w:rPr>
          <w:bCs w:val="0"/>
          <w:spacing w:val="0"/>
          <w:kern w:val="2"/>
        </w:rPr>
      </w:pPr>
    </w:p>
    <w:p w:rsidR="0095244F" w:rsidRPr="001137D2" w:rsidRDefault="00A07DCC" w:rsidP="007743F7">
      <w:pPr>
        <w:jc w:val="both"/>
        <w:rPr>
          <w:rFonts w:cs="Courier New"/>
          <w:spacing w:val="0"/>
          <w:kern w:val="2"/>
        </w:rPr>
      </w:pPr>
      <w:r w:rsidRPr="001137D2">
        <w:rPr>
          <w:rFonts w:cs="Courier New"/>
          <w:spacing w:val="0"/>
          <w:kern w:val="2"/>
        </w:rPr>
        <w:t>In general, the GAO Yellow Book standards for auditor independence prohibit the audit firm from auditing its own w</w:t>
      </w:r>
      <w:r w:rsidR="0095244F" w:rsidRPr="001137D2">
        <w:rPr>
          <w:rFonts w:cs="Courier New"/>
          <w:spacing w:val="0"/>
          <w:kern w:val="2"/>
        </w:rPr>
        <w:t>ork</w:t>
      </w:r>
      <w:r w:rsidRPr="001137D2">
        <w:rPr>
          <w:rFonts w:cs="Courier New"/>
          <w:spacing w:val="0"/>
          <w:kern w:val="2"/>
        </w:rPr>
        <w:t xml:space="preserve"> as well as from providing a non-audit service where such service is signif</w:t>
      </w:r>
      <w:r w:rsidR="006700DC" w:rsidRPr="001137D2">
        <w:rPr>
          <w:rFonts w:cs="Courier New"/>
          <w:spacing w:val="0"/>
          <w:kern w:val="2"/>
        </w:rPr>
        <w:t xml:space="preserve">icantly material to the audit. </w:t>
      </w:r>
      <w:r w:rsidRPr="001137D2">
        <w:rPr>
          <w:rFonts w:cs="Courier New"/>
          <w:spacing w:val="0"/>
          <w:kern w:val="2"/>
        </w:rPr>
        <w:t xml:space="preserve">Further, the firm should not perform non-audit services that involve management functions or management decisions. Non-audit services include: </w:t>
      </w:r>
    </w:p>
    <w:p w:rsidR="0095244F" w:rsidRPr="001137D2" w:rsidRDefault="0095244F" w:rsidP="007743F7">
      <w:pPr>
        <w:ind w:left="1080" w:hanging="360"/>
        <w:jc w:val="both"/>
        <w:rPr>
          <w:rFonts w:cs="Courier New"/>
          <w:spacing w:val="0"/>
          <w:kern w:val="2"/>
        </w:rPr>
      </w:pP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I</w:t>
      </w:r>
      <w:r w:rsidR="00A07DCC" w:rsidRPr="001137D2">
        <w:rPr>
          <w:rFonts w:cs="Courier New"/>
          <w:spacing w:val="0"/>
          <w:kern w:val="2"/>
        </w:rPr>
        <w:t>m</w:t>
      </w:r>
      <w:r w:rsidRPr="001137D2">
        <w:rPr>
          <w:rFonts w:cs="Courier New"/>
          <w:spacing w:val="0"/>
          <w:kern w:val="2"/>
        </w:rPr>
        <w:t xml:space="preserve">plementing accounting systems; </w:t>
      </w: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 xml:space="preserve">Determining account balances; </w:t>
      </w: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D</w:t>
      </w:r>
      <w:r w:rsidR="00A07DCC" w:rsidRPr="001137D2">
        <w:rPr>
          <w:rFonts w:cs="Courier New"/>
          <w:spacing w:val="0"/>
          <w:kern w:val="2"/>
        </w:rPr>
        <w:t>evelo</w:t>
      </w:r>
      <w:r w:rsidRPr="001137D2">
        <w:rPr>
          <w:rFonts w:cs="Courier New"/>
          <w:spacing w:val="0"/>
          <w:kern w:val="2"/>
        </w:rPr>
        <w:t xml:space="preserve">ping internal control systems; </w:t>
      </w: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E</w:t>
      </w:r>
      <w:r w:rsidR="00A07DCC" w:rsidRPr="001137D2">
        <w:rPr>
          <w:rFonts w:cs="Courier New"/>
          <w:spacing w:val="0"/>
          <w:kern w:val="2"/>
        </w:rPr>
        <w:t>stabli</w:t>
      </w:r>
      <w:r w:rsidRPr="001137D2">
        <w:rPr>
          <w:rFonts w:cs="Courier New"/>
          <w:spacing w:val="0"/>
          <w:kern w:val="2"/>
        </w:rPr>
        <w:t xml:space="preserve">shing capitalization criteria; </w:t>
      </w: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 xml:space="preserve">Processing payroll; </w:t>
      </w: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 xml:space="preserve">Posting of transactions; </w:t>
      </w: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 xml:space="preserve">Evaluating assets; </w:t>
      </w:r>
    </w:p>
    <w:p w:rsidR="0095244F"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D</w:t>
      </w:r>
      <w:r w:rsidR="00A07DCC" w:rsidRPr="001137D2">
        <w:rPr>
          <w:rFonts w:cs="Courier New"/>
          <w:spacing w:val="0"/>
          <w:kern w:val="2"/>
        </w:rPr>
        <w:t>esigning or implementing IT or other similar systems; and</w:t>
      </w:r>
      <w:r w:rsidRPr="001137D2">
        <w:rPr>
          <w:rFonts w:cs="Courier New"/>
          <w:spacing w:val="0"/>
          <w:kern w:val="2"/>
        </w:rPr>
        <w:t xml:space="preserve">, </w:t>
      </w:r>
    </w:p>
    <w:p w:rsidR="00A07DCC" w:rsidRPr="001137D2" w:rsidRDefault="0095244F" w:rsidP="007743F7">
      <w:pPr>
        <w:pStyle w:val="ListParagraph"/>
        <w:numPr>
          <w:ilvl w:val="0"/>
          <w:numId w:val="3"/>
        </w:numPr>
        <w:ind w:left="1080"/>
        <w:jc w:val="both"/>
        <w:rPr>
          <w:rFonts w:cs="Courier New"/>
          <w:spacing w:val="0"/>
          <w:kern w:val="2"/>
        </w:rPr>
      </w:pPr>
      <w:r w:rsidRPr="001137D2">
        <w:rPr>
          <w:rFonts w:cs="Courier New"/>
          <w:spacing w:val="0"/>
          <w:kern w:val="2"/>
        </w:rPr>
        <w:t>P</w:t>
      </w:r>
      <w:r w:rsidR="00A07DCC" w:rsidRPr="001137D2">
        <w:rPr>
          <w:rFonts w:cs="Courier New"/>
          <w:spacing w:val="0"/>
          <w:kern w:val="2"/>
        </w:rPr>
        <w:t>erforming actuarial studies.</w:t>
      </w:r>
    </w:p>
    <w:p w:rsidR="00A07DCC" w:rsidRPr="001137D2" w:rsidRDefault="00A07DCC" w:rsidP="007743F7">
      <w:pPr>
        <w:ind w:left="1080" w:hanging="360"/>
        <w:jc w:val="both"/>
        <w:rPr>
          <w:rFonts w:cs="Courier New"/>
          <w:spacing w:val="0"/>
          <w:kern w:val="2"/>
        </w:rPr>
      </w:pPr>
    </w:p>
    <w:p w:rsidR="00A07DCC" w:rsidRPr="001137D2" w:rsidRDefault="00113AE9" w:rsidP="007743F7">
      <w:pPr>
        <w:jc w:val="both"/>
        <w:rPr>
          <w:bCs w:val="0"/>
          <w:spacing w:val="0"/>
          <w:kern w:val="2"/>
        </w:rPr>
      </w:pPr>
      <w:r w:rsidRPr="001137D2">
        <w:rPr>
          <w:rFonts w:cs="Courier New"/>
          <w:spacing w:val="0"/>
          <w:kern w:val="2"/>
        </w:rPr>
        <w:t>Notwithstanding the foregoing</w:t>
      </w:r>
      <w:r w:rsidR="00A07DCC" w:rsidRPr="001137D2">
        <w:rPr>
          <w:rFonts w:cs="Courier New"/>
          <w:spacing w:val="0"/>
          <w:kern w:val="2"/>
        </w:rPr>
        <w:t xml:space="preserve">, an audit firm </w:t>
      </w:r>
      <w:r w:rsidR="00A07DCC" w:rsidRPr="001137D2">
        <w:rPr>
          <w:rFonts w:cs="Courier New"/>
          <w:spacing w:val="0"/>
          <w:kern w:val="2"/>
          <w:u w:val="single"/>
        </w:rPr>
        <w:t>can</w:t>
      </w:r>
      <w:r w:rsidR="00A07DCC" w:rsidRPr="001137D2">
        <w:rPr>
          <w:rFonts w:cs="Courier New"/>
          <w:spacing w:val="0"/>
          <w:kern w:val="2"/>
        </w:rPr>
        <w:t xml:space="preserve"> provide </w:t>
      </w:r>
      <w:r w:rsidRPr="001137D2">
        <w:rPr>
          <w:rFonts w:cs="Courier New"/>
          <w:spacing w:val="0"/>
          <w:kern w:val="2"/>
        </w:rPr>
        <w:t xml:space="preserve">certain limited </w:t>
      </w:r>
      <w:r w:rsidR="00A07DCC" w:rsidRPr="001137D2">
        <w:rPr>
          <w:rFonts w:cs="Courier New"/>
          <w:spacing w:val="0"/>
          <w:kern w:val="2"/>
        </w:rPr>
        <w:t xml:space="preserve">non-audit services to a </w:t>
      </w:r>
      <w:r w:rsidR="00F33850" w:rsidRPr="001137D2">
        <w:rPr>
          <w:rFonts w:cs="Courier New"/>
          <w:spacing w:val="0"/>
          <w:kern w:val="2"/>
        </w:rPr>
        <w:t>health c</w:t>
      </w:r>
      <w:r w:rsidRPr="001137D2">
        <w:rPr>
          <w:rFonts w:cs="Courier New"/>
          <w:spacing w:val="0"/>
          <w:kern w:val="2"/>
        </w:rPr>
        <w:t>enter</w:t>
      </w:r>
      <w:r w:rsidR="00A07DCC" w:rsidRPr="001137D2">
        <w:rPr>
          <w:rFonts w:cs="Courier New"/>
          <w:spacing w:val="0"/>
          <w:kern w:val="2"/>
        </w:rPr>
        <w:t xml:space="preserve"> for </w:t>
      </w:r>
      <w:r w:rsidRPr="001137D2">
        <w:rPr>
          <w:rFonts w:cs="Courier New"/>
          <w:spacing w:val="0"/>
          <w:kern w:val="2"/>
        </w:rPr>
        <w:t xml:space="preserve">which </w:t>
      </w:r>
      <w:r w:rsidR="00A07DCC" w:rsidRPr="001137D2">
        <w:rPr>
          <w:rFonts w:cs="Courier New"/>
          <w:spacing w:val="0"/>
          <w:kern w:val="2"/>
        </w:rPr>
        <w:t>it has conducted the annual audit, so long as certain safeguards are put into place:</w:t>
      </w:r>
    </w:p>
    <w:p w:rsidR="00A07DCC" w:rsidRPr="001137D2" w:rsidRDefault="00A07DCC" w:rsidP="007743F7">
      <w:pPr>
        <w:autoSpaceDE w:val="0"/>
        <w:autoSpaceDN w:val="0"/>
        <w:adjustRightInd w:val="0"/>
        <w:jc w:val="both"/>
        <w:rPr>
          <w:rFonts w:cs="Courier New"/>
          <w:spacing w:val="0"/>
          <w:kern w:val="2"/>
        </w:rPr>
      </w:pPr>
    </w:p>
    <w:p w:rsidR="00A07DCC" w:rsidRPr="001137D2" w:rsidRDefault="00A07DCC" w:rsidP="007743F7">
      <w:pPr>
        <w:numPr>
          <w:ilvl w:val="0"/>
          <w:numId w:val="1"/>
        </w:numPr>
        <w:tabs>
          <w:tab w:val="clear" w:pos="720"/>
          <w:tab w:val="num" w:pos="1080"/>
        </w:tabs>
        <w:autoSpaceDE w:val="0"/>
        <w:autoSpaceDN w:val="0"/>
        <w:adjustRightInd w:val="0"/>
        <w:ind w:left="1080"/>
        <w:jc w:val="both"/>
        <w:rPr>
          <w:rFonts w:cs="Courier New"/>
          <w:spacing w:val="0"/>
          <w:kern w:val="2"/>
        </w:rPr>
      </w:pPr>
      <w:r w:rsidRPr="001137D2">
        <w:rPr>
          <w:rFonts w:cs="Courier New"/>
          <w:spacing w:val="0"/>
          <w:kern w:val="2"/>
        </w:rPr>
        <w:t xml:space="preserve">The </w:t>
      </w:r>
      <w:r w:rsidR="00F33850" w:rsidRPr="001137D2">
        <w:rPr>
          <w:rFonts w:cs="Courier New"/>
          <w:spacing w:val="0"/>
          <w:kern w:val="2"/>
        </w:rPr>
        <w:t>health c</w:t>
      </w:r>
      <w:r w:rsidR="00113AE9" w:rsidRPr="001137D2">
        <w:rPr>
          <w:rFonts w:cs="Courier New"/>
          <w:spacing w:val="0"/>
          <w:kern w:val="2"/>
        </w:rPr>
        <w:t>enter</w:t>
      </w:r>
      <w:r w:rsidRPr="001137D2">
        <w:rPr>
          <w:rFonts w:cs="Courier New"/>
          <w:spacing w:val="0"/>
          <w:kern w:val="2"/>
        </w:rPr>
        <w:t>’s management must take responsibility for the decisions pertaining to the non-audit services; and</w:t>
      </w:r>
      <w:r w:rsidR="00F33850" w:rsidRPr="001137D2">
        <w:rPr>
          <w:rFonts w:cs="Courier New"/>
          <w:spacing w:val="0"/>
          <w:kern w:val="2"/>
        </w:rPr>
        <w:t>,</w:t>
      </w:r>
    </w:p>
    <w:p w:rsidR="00A07DCC" w:rsidRPr="001137D2" w:rsidRDefault="00A07DCC" w:rsidP="007743F7">
      <w:pPr>
        <w:numPr>
          <w:ilvl w:val="0"/>
          <w:numId w:val="1"/>
        </w:numPr>
        <w:tabs>
          <w:tab w:val="clear" w:pos="720"/>
          <w:tab w:val="num" w:pos="1080"/>
        </w:tabs>
        <w:autoSpaceDE w:val="0"/>
        <w:autoSpaceDN w:val="0"/>
        <w:adjustRightInd w:val="0"/>
        <w:ind w:left="1080"/>
        <w:jc w:val="both"/>
        <w:rPr>
          <w:rFonts w:cs="Courier New"/>
          <w:spacing w:val="0"/>
          <w:kern w:val="2"/>
        </w:rPr>
      </w:pPr>
      <w:r w:rsidRPr="001137D2">
        <w:rPr>
          <w:rFonts w:cs="Courier New"/>
          <w:spacing w:val="0"/>
          <w:kern w:val="2"/>
        </w:rPr>
        <w:t>The responsibilities of the audit firm and management must be spelled out in the audit engagement letter.</w:t>
      </w:r>
    </w:p>
    <w:p w:rsidR="00A07DCC" w:rsidRPr="001137D2" w:rsidRDefault="00A07DCC" w:rsidP="007743F7">
      <w:pPr>
        <w:autoSpaceDE w:val="0"/>
        <w:autoSpaceDN w:val="0"/>
        <w:adjustRightInd w:val="0"/>
        <w:ind w:firstLine="720"/>
        <w:jc w:val="both"/>
        <w:rPr>
          <w:rFonts w:cs="Courier New"/>
          <w:spacing w:val="0"/>
          <w:kern w:val="2"/>
        </w:rPr>
      </w:pPr>
    </w:p>
    <w:p w:rsidR="00A07DCC" w:rsidRPr="001137D2" w:rsidRDefault="00A07DCC" w:rsidP="007743F7">
      <w:pPr>
        <w:autoSpaceDE w:val="0"/>
        <w:autoSpaceDN w:val="0"/>
        <w:adjustRightInd w:val="0"/>
        <w:jc w:val="both"/>
        <w:rPr>
          <w:rFonts w:cs="Courier New"/>
          <w:spacing w:val="0"/>
          <w:kern w:val="2"/>
        </w:rPr>
      </w:pPr>
      <w:r w:rsidRPr="001137D2">
        <w:rPr>
          <w:rFonts w:cs="Courier New"/>
          <w:spacing w:val="0"/>
          <w:kern w:val="2"/>
        </w:rPr>
        <w:t>Assuming appropriate safeguards have been established, the audi</w:t>
      </w:r>
      <w:r w:rsidR="00F33850" w:rsidRPr="001137D2">
        <w:rPr>
          <w:rFonts w:cs="Courier New"/>
          <w:spacing w:val="0"/>
          <w:kern w:val="2"/>
        </w:rPr>
        <w:t>t firm can provide</w:t>
      </w:r>
      <w:r w:rsidRPr="001137D2">
        <w:rPr>
          <w:rFonts w:cs="Courier New"/>
          <w:spacing w:val="0"/>
          <w:kern w:val="2"/>
        </w:rPr>
        <w:t xml:space="preserve"> non-audit services to the </w:t>
      </w:r>
      <w:r w:rsidR="00F33850" w:rsidRPr="001137D2">
        <w:rPr>
          <w:rFonts w:cs="Courier New"/>
          <w:spacing w:val="0"/>
          <w:kern w:val="2"/>
        </w:rPr>
        <w:t>health c</w:t>
      </w:r>
      <w:r w:rsidR="00113AE9" w:rsidRPr="001137D2">
        <w:rPr>
          <w:rFonts w:cs="Courier New"/>
          <w:spacing w:val="0"/>
          <w:kern w:val="2"/>
        </w:rPr>
        <w:t>enter</w:t>
      </w:r>
      <w:r w:rsidR="00DF14DE" w:rsidRPr="001137D2">
        <w:rPr>
          <w:rFonts w:cs="Courier New"/>
          <w:spacing w:val="0"/>
          <w:kern w:val="2"/>
        </w:rPr>
        <w:t>, including but not limited to</w:t>
      </w:r>
      <w:r w:rsidRPr="001137D2">
        <w:rPr>
          <w:rFonts w:cs="Courier New"/>
          <w:spacing w:val="0"/>
          <w:kern w:val="2"/>
        </w:rPr>
        <w:t>:</w:t>
      </w:r>
    </w:p>
    <w:p w:rsidR="00A07DCC" w:rsidRPr="001137D2" w:rsidRDefault="00A07DCC" w:rsidP="007743F7">
      <w:pPr>
        <w:autoSpaceDE w:val="0"/>
        <w:autoSpaceDN w:val="0"/>
        <w:adjustRightInd w:val="0"/>
        <w:ind w:left="1080" w:hanging="360"/>
        <w:jc w:val="both"/>
        <w:rPr>
          <w:rFonts w:cs="Courier New"/>
          <w:spacing w:val="0"/>
          <w:kern w:val="2"/>
        </w:rPr>
      </w:pPr>
    </w:p>
    <w:p w:rsidR="00A07DCC" w:rsidRPr="001137D2" w:rsidRDefault="00113AE9" w:rsidP="007743F7">
      <w:pPr>
        <w:numPr>
          <w:ilvl w:val="0"/>
          <w:numId w:val="2"/>
        </w:numPr>
        <w:tabs>
          <w:tab w:val="clear" w:pos="720"/>
          <w:tab w:val="num" w:pos="1080"/>
        </w:tabs>
        <w:autoSpaceDE w:val="0"/>
        <w:autoSpaceDN w:val="0"/>
        <w:adjustRightInd w:val="0"/>
        <w:ind w:left="1080"/>
        <w:jc w:val="both"/>
        <w:rPr>
          <w:rFonts w:cs="Courier New"/>
          <w:spacing w:val="0"/>
          <w:kern w:val="2"/>
        </w:rPr>
      </w:pPr>
      <w:r w:rsidRPr="001137D2">
        <w:rPr>
          <w:rFonts w:cs="Courier New"/>
          <w:spacing w:val="0"/>
          <w:kern w:val="2"/>
        </w:rPr>
        <w:t xml:space="preserve">Certain basic </w:t>
      </w:r>
      <w:r w:rsidR="00A07DCC" w:rsidRPr="001137D2">
        <w:rPr>
          <w:rFonts w:cs="Courier New"/>
          <w:spacing w:val="0"/>
          <w:kern w:val="2"/>
        </w:rPr>
        <w:t>accounting</w:t>
      </w:r>
      <w:r w:rsidRPr="001137D2">
        <w:rPr>
          <w:rFonts w:cs="Courier New"/>
          <w:spacing w:val="0"/>
          <w:kern w:val="2"/>
        </w:rPr>
        <w:t xml:space="preserve"> functions provided that the task involves limited exercise of discretion on the part of the auditor, </w:t>
      </w:r>
      <w:r w:rsidRPr="001137D2">
        <w:rPr>
          <w:rFonts w:cs="Courier New"/>
          <w:spacing w:val="0"/>
          <w:kern w:val="2"/>
          <w:u w:val="single"/>
        </w:rPr>
        <w:t>e.g.</w:t>
      </w:r>
      <w:r w:rsidRPr="001137D2">
        <w:rPr>
          <w:rFonts w:cs="Courier New"/>
          <w:spacing w:val="0"/>
          <w:kern w:val="2"/>
        </w:rPr>
        <w:t>, restatement of existing records maintained by the auditee</w:t>
      </w:r>
      <w:r w:rsidR="00A07DCC" w:rsidRPr="001137D2">
        <w:rPr>
          <w:rFonts w:cs="Courier New"/>
          <w:spacing w:val="0"/>
          <w:kern w:val="2"/>
        </w:rPr>
        <w:t>;</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lastRenderedPageBreak/>
        <w:t>Computing of payroll based on the center’s time records (but not preparing the entire payroll);</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t>Making valuation determinations, subject to the decisions of the center’s management;</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t>Preparing an indirect cost proposal (subject to limitation by management</w:t>
      </w:r>
      <w:r w:rsidR="00113AE9" w:rsidRPr="001137D2">
        <w:rPr>
          <w:rFonts w:cs="Courier New"/>
          <w:spacing w:val="0"/>
          <w:kern w:val="2"/>
        </w:rPr>
        <w:t xml:space="preserve"> and so long as the indirect costs recovered in the prior year do not exceed $1 million</w:t>
      </w:r>
      <w:r w:rsidRPr="001137D2">
        <w:rPr>
          <w:rFonts w:cs="Courier New"/>
          <w:spacing w:val="0"/>
          <w:kern w:val="2"/>
        </w:rPr>
        <w:t xml:space="preserve">); </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t>Advising on information technology issues, provided that the center’s management takes responsibility for the decisions;</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t>Providing limited human resource advice;</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t>Preparing routine tax filings;</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t>Conducting legislative and administrative fact gathering; and</w:t>
      </w:r>
    </w:p>
    <w:p w:rsidR="00A07DCC" w:rsidRPr="001137D2" w:rsidRDefault="00A07DCC" w:rsidP="007743F7">
      <w:pPr>
        <w:numPr>
          <w:ilvl w:val="0"/>
          <w:numId w:val="2"/>
        </w:numPr>
        <w:autoSpaceDE w:val="0"/>
        <w:autoSpaceDN w:val="0"/>
        <w:adjustRightInd w:val="0"/>
        <w:ind w:left="1080"/>
        <w:jc w:val="both"/>
        <w:rPr>
          <w:rFonts w:cs="Courier New"/>
          <w:spacing w:val="0"/>
          <w:kern w:val="2"/>
        </w:rPr>
      </w:pPr>
      <w:r w:rsidRPr="001137D2">
        <w:rPr>
          <w:rFonts w:cs="Courier New"/>
          <w:spacing w:val="0"/>
          <w:kern w:val="2"/>
        </w:rPr>
        <w:t>Assessing internal controls.</w:t>
      </w:r>
      <w:r w:rsidR="00DF14DE" w:rsidRPr="001137D2">
        <w:rPr>
          <w:rStyle w:val="FootnoteReference"/>
          <w:rFonts w:cs="Courier New"/>
          <w:spacing w:val="0"/>
          <w:kern w:val="2"/>
        </w:rPr>
        <w:footnoteReference w:id="1"/>
      </w:r>
    </w:p>
    <w:p w:rsidR="00A07DCC" w:rsidRPr="001137D2" w:rsidRDefault="00A07DCC" w:rsidP="007743F7">
      <w:pPr>
        <w:autoSpaceDE w:val="0"/>
        <w:autoSpaceDN w:val="0"/>
        <w:adjustRightInd w:val="0"/>
        <w:ind w:left="1080" w:hanging="360"/>
        <w:jc w:val="both"/>
        <w:rPr>
          <w:rFonts w:cs="Courier New"/>
          <w:spacing w:val="0"/>
          <w:kern w:val="2"/>
        </w:rPr>
      </w:pPr>
    </w:p>
    <w:p w:rsidR="00A07DCC" w:rsidRPr="001137D2" w:rsidRDefault="00544D0F" w:rsidP="007743F7">
      <w:pPr>
        <w:jc w:val="both"/>
        <w:rPr>
          <w:bCs w:val="0"/>
          <w:spacing w:val="0"/>
          <w:kern w:val="2"/>
        </w:rPr>
      </w:pPr>
      <w:r w:rsidRPr="001137D2">
        <w:rPr>
          <w:b/>
          <w:spacing w:val="0"/>
          <w:kern w:val="2"/>
        </w:rPr>
        <w:t>Advice and Recommendations</w:t>
      </w:r>
      <w:r w:rsidR="00F3650B" w:rsidRPr="001137D2">
        <w:rPr>
          <w:rStyle w:val="FootnoteReference"/>
          <w:b/>
          <w:spacing w:val="0"/>
          <w:kern w:val="2"/>
        </w:rPr>
        <w:footnoteReference w:id="2"/>
      </w:r>
    </w:p>
    <w:p w:rsidR="00A07DCC" w:rsidRPr="001137D2" w:rsidRDefault="00A07DCC" w:rsidP="007743F7">
      <w:pPr>
        <w:autoSpaceDE w:val="0"/>
        <w:autoSpaceDN w:val="0"/>
        <w:adjustRightInd w:val="0"/>
        <w:jc w:val="both"/>
        <w:rPr>
          <w:rFonts w:cs="Courier New"/>
          <w:spacing w:val="0"/>
          <w:kern w:val="2"/>
        </w:rPr>
      </w:pPr>
    </w:p>
    <w:p w:rsidR="00A07DCC" w:rsidRPr="001137D2" w:rsidRDefault="00A07DCC" w:rsidP="007743F7">
      <w:pPr>
        <w:autoSpaceDE w:val="0"/>
        <w:autoSpaceDN w:val="0"/>
        <w:adjustRightInd w:val="0"/>
        <w:jc w:val="both"/>
        <w:rPr>
          <w:rFonts w:cs="Courier New"/>
          <w:spacing w:val="0"/>
          <w:kern w:val="2"/>
        </w:rPr>
      </w:pPr>
      <w:r w:rsidRPr="001137D2">
        <w:rPr>
          <w:rFonts w:cs="Courier New"/>
          <w:spacing w:val="0"/>
          <w:kern w:val="2"/>
        </w:rPr>
        <w:t>With the current emphasis on corporate responsibility</w:t>
      </w:r>
      <w:r w:rsidR="00774B89" w:rsidRPr="001137D2">
        <w:rPr>
          <w:rFonts w:cs="Courier New"/>
          <w:spacing w:val="0"/>
          <w:kern w:val="2"/>
        </w:rPr>
        <w:t xml:space="preserve"> and transparency of actions, </w:t>
      </w:r>
      <w:r w:rsidRPr="001137D2">
        <w:rPr>
          <w:rFonts w:cs="Courier New"/>
          <w:spacing w:val="0"/>
          <w:kern w:val="2"/>
        </w:rPr>
        <w:t xml:space="preserve">it is essential for </w:t>
      </w:r>
      <w:r w:rsidR="00774B89" w:rsidRPr="001137D2">
        <w:rPr>
          <w:rFonts w:cs="Courier New"/>
          <w:spacing w:val="0"/>
          <w:kern w:val="2"/>
        </w:rPr>
        <w:t>health c</w:t>
      </w:r>
      <w:r w:rsidR="00113AE9" w:rsidRPr="001137D2">
        <w:rPr>
          <w:rFonts w:cs="Courier New"/>
          <w:spacing w:val="0"/>
          <w:kern w:val="2"/>
        </w:rPr>
        <w:t>enter</w:t>
      </w:r>
      <w:r w:rsidRPr="001137D2">
        <w:rPr>
          <w:rFonts w:cs="Courier New"/>
          <w:spacing w:val="0"/>
          <w:kern w:val="2"/>
        </w:rPr>
        <w:t xml:space="preserve">s </w:t>
      </w:r>
      <w:r w:rsidR="00774B89" w:rsidRPr="001137D2">
        <w:rPr>
          <w:rFonts w:cs="Courier New"/>
          <w:spacing w:val="0"/>
          <w:kern w:val="2"/>
        </w:rPr>
        <w:t>to follow the Yellow Book’s auditor independence standards when</w:t>
      </w:r>
      <w:r w:rsidRPr="001137D2">
        <w:rPr>
          <w:rFonts w:cs="Courier New"/>
          <w:spacing w:val="0"/>
          <w:kern w:val="2"/>
        </w:rPr>
        <w:t xml:space="preserve"> contract</w:t>
      </w:r>
      <w:r w:rsidR="00774B89" w:rsidRPr="001137D2">
        <w:rPr>
          <w:rFonts w:cs="Courier New"/>
          <w:spacing w:val="0"/>
          <w:kern w:val="2"/>
        </w:rPr>
        <w:t>ing</w:t>
      </w:r>
      <w:r w:rsidRPr="001137D2">
        <w:rPr>
          <w:rFonts w:cs="Courier New"/>
          <w:spacing w:val="0"/>
          <w:kern w:val="2"/>
        </w:rPr>
        <w:t xml:space="preserve"> with their audit firms for non-audit services</w:t>
      </w:r>
      <w:r w:rsidR="006700DC" w:rsidRPr="001137D2">
        <w:rPr>
          <w:rFonts w:cs="Courier New"/>
          <w:spacing w:val="0"/>
          <w:kern w:val="2"/>
        </w:rPr>
        <w:t xml:space="preserve">. </w:t>
      </w:r>
      <w:r w:rsidRPr="001137D2">
        <w:rPr>
          <w:rFonts w:cs="Courier New"/>
          <w:spacing w:val="0"/>
          <w:kern w:val="2"/>
        </w:rPr>
        <w:t xml:space="preserve">Prior to determining whether the audit firm can provide a specific non-audit service, the </w:t>
      </w:r>
      <w:r w:rsidR="00774B89" w:rsidRPr="001137D2">
        <w:rPr>
          <w:rFonts w:cs="Courier New"/>
          <w:spacing w:val="0"/>
          <w:kern w:val="2"/>
        </w:rPr>
        <w:t>health c</w:t>
      </w:r>
      <w:r w:rsidR="00113AE9" w:rsidRPr="001137D2">
        <w:rPr>
          <w:rFonts w:cs="Courier New"/>
          <w:spacing w:val="0"/>
          <w:kern w:val="2"/>
        </w:rPr>
        <w:t>enter</w:t>
      </w:r>
      <w:r w:rsidRPr="001137D2">
        <w:rPr>
          <w:rFonts w:cs="Courier New"/>
          <w:spacing w:val="0"/>
          <w:kern w:val="2"/>
        </w:rPr>
        <w:t xml:space="preserve"> should examine the facts and circumstances of services, as well as whether (1) the </w:t>
      </w:r>
      <w:r w:rsidR="00774B89" w:rsidRPr="001137D2">
        <w:rPr>
          <w:rFonts w:cs="Courier New"/>
          <w:spacing w:val="0"/>
          <w:kern w:val="2"/>
        </w:rPr>
        <w:t>health c</w:t>
      </w:r>
      <w:r w:rsidR="00113AE9" w:rsidRPr="001137D2">
        <w:rPr>
          <w:rFonts w:cs="Courier New"/>
          <w:spacing w:val="0"/>
          <w:kern w:val="2"/>
        </w:rPr>
        <w:t>enter</w:t>
      </w:r>
      <w:r w:rsidRPr="001137D2">
        <w:rPr>
          <w:rFonts w:cs="Courier New"/>
          <w:spacing w:val="0"/>
          <w:kern w:val="2"/>
        </w:rPr>
        <w:t xml:space="preserve"> has appropriate safeguards in place, and (2) providing the contemplated services will comply with both the “letter” and the “spirit” of the </w:t>
      </w:r>
      <w:r w:rsidR="00113AE9" w:rsidRPr="001137D2">
        <w:rPr>
          <w:rFonts w:cs="Courier New"/>
          <w:spacing w:val="0"/>
          <w:kern w:val="2"/>
        </w:rPr>
        <w:t>s</w:t>
      </w:r>
      <w:r w:rsidRPr="001137D2">
        <w:rPr>
          <w:rFonts w:cs="Courier New"/>
          <w:spacing w:val="0"/>
          <w:kern w:val="2"/>
        </w:rPr>
        <w:t>tandards.</w:t>
      </w:r>
    </w:p>
    <w:p w:rsidR="00A07DCC" w:rsidRPr="001137D2" w:rsidRDefault="00A07DCC" w:rsidP="007743F7">
      <w:pPr>
        <w:jc w:val="both"/>
        <w:rPr>
          <w:bCs w:val="0"/>
          <w:spacing w:val="0"/>
          <w:kern w:val="2"/>
        </w:rPr>
      </w:pPr>
    </w:p>
    <w:p w:rsidR="006700DC" w:rsidRPr="001137D2" w:rsidRDefault="00BC602E" w:rsidP="007743F7">
      <w:pPr>
        <w:pStyle w:val="ListParagraph"/>
        <w:numPr>
          <w:ilvl w:val="0"/>
          <w:numId w:val="4"/>
        </w:numPr>
        <w:ind w:left="1080"/>
        <w:jc w:val="both"/>
        <w:rPr>
          <w:bCs w:val="0"/>
          <w:spacing w:val="0"/>
          <w:kern w:val="2"/>
        </w:rPr>
      </w:pPr>
      <w:hyperlink r:id="rId9" w:history="1">
        <w:r w:rsidR="006700DC" w:rsidRPr="001137D2">
          <w:rPr>
            <w:rStyle w:val="Hyperlink"/>
            <w:bCs w:val="0"/>
            <w:spacing w:val="0"/>
            <w:kern w:val="2"/>
          </w:rPr>
          <w:t>Procuring non-a</w:t>
        </w:r>
        <w:r w:rsidR="00A07DCC" w:rsidRPr="001137D2">
          <w:rPr>
            <w:rStyle w:val="Hyperlink"/>
            <w:bCs w:val="0"/>
            <w:spacing w:val="0"/>
            <w:kern w:val="2"/>
          </w:rPr>
          <w:t>u</w:t>
        </w:r>
        <w:r w:rsidR="006700DC" w:rsidRPr="001137D2">
          <w:rPr>
            <w:rStyle w:val="Hyperlink"/>
            <w:bCs w:val="0"/>
            <w:spacing w:val="0"/>
            <w:kern w:val="2"/>
          </w:rPr>
          <w:t>dit services from the audit f</w:t>
        </w:r>
        <w:r w:rsidR="00AC61E0" w:rsidRPr="001137D2">
          <w:rPr>
            <w:rStyle w:val="Hyperlink"/>
            <w:bCs w:val="0"/>
            <w:spacing w:val="0"/>
            <w:kern w:val="2"/>
          </w:rPr>
          <w:t>irm</w:t>
        </w:r>
        <w:r w:rsidR="006700DC" w:rsidRPr="001137D2">
          <w:rPr>
            <w:rStyle w:val="Hyperlink"/>
            <w:bCs w:val="0"/>
            <w:spacing w:val="0"/>
            <w:kern w:val="2"/>
          </w:rPr>
          <w:t>: Sample policy and procedure</w:t>
        </w:r>
      </w:hyperlink>
      <w:bookmarkStart w:id="0" w:name="_GoBack"/>
      <w:bookmarkEnd w:id="0"/>
    </w:p>
    <w:sectPr w:rsidR="006700DC" w:rsidRPr="001137D2" w:rsidSect="00541E5D">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E0" w:rsidRDefault="00AC61E0" w:rsidP="00AC61E0">
      <w:r>
        <w:separator/>
      </w:r>
    </w:p>
  </w:endnote>
  <w:endnote w:type="continuationSeparator" w:id="0">
    <w:p w:rsidR="00AC61E0" w:rsidRDefault="00AC61E0" w:rsidP="00AC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34" w:rsidRDefault="00D92034" w:rsidP="00051962">
    <w:pPr>
      <w:pBdr>
        <w:bottom w:val="single" w:sz="12" w:space="1" w:color="auto"/>
      </w:pBdr>
      <w:rPr>
        <w:sz w:val="20"/>
        <w:szCs w:val="20"/>
      </w:rPr>
    </w:pPr>
  </w:p>
  <w:p w:rsidR="00D92034" w:rsidRDefault="00D92034" w:rsidP="00D92034">
    <w:pPr>
      <w:tabs>
        <w:tab w:val="left" w:pos="2340"/>
      </w:tabs>
      <w:jc w:val="center"/>
      <w:rPr>
        <w:sz w:val="20"/>
        <w:szCs w:val="20"/>
      </w:rPr>
    </w:pPr>
  </w:p>
  <w:p w:rsidR="00D92034" w:rsidRPr="001137D2" w:rsidRDefault="00FE23CE" w:rsidP="00D92034">
    <w:pPr>
      <w:tabs>
        <w:tab w:val="left" w:pos="2340"/>
      </w:tabs>
      <w:jc w:val="center"/>
      <w:rPr>
        <w:spacing w:val="0"/>
        <w:sz w:val="20"/>
        <w:szCs w:val="20"/>
      </w:rPr>
    </w:pPr>
    <w:r w:rsidRPr="001137D2">
      <w:rPr>
        <w:spacing w:val="0"/>
        <w:sz w:val="20"/>
        <w:szCs w:val="20"/>
      </w:rPr>
      <w:t xml:space="preserve">The </w:t>
    </w:r>
    <w:r w:rsidR="00E66E1B" w:rsidRPr="001137D2">
      <w:rPr>
        <w:spacing w:val="0"/>
        <w:sz w:val="20"/>
        <w:szCs w:val="20"/>
      </w:rPr>
      <w:t>Corporate</w:t>
    </w:r>
    <w:r w:rsidR="00D92034" w:rsidRPr="001137D2">
      <w:rPr>
        <w:spacing w:val="0"/>
        <w:sz w:val="20"/>
        <w:szCs w:val="20"/>
      </w:rPr>
      <w:t xml:space="preserve"> Compliance Toolkit</w:t>
    </w:r>
    <w:r w:rsidR="00E66E1B" w:rsidRPr="001137D2">
      <w:rPr>
        <w:spacing w:val="0"/>
        <w:sz w:val="20"/>
        <w:szCs w:val="20"/>
      </w:rPr>
      <w:t xml:space="preserve"> for Health Centers</w:t>
    </w:r>
  </w:p>
  <w:p w:rsidR="00D92034" w:rsidRPr="001137D2" w:rsidRDefault="00D92034" w:rsidP="00D92034">
    <w:pPr>
      <w:tabs>
        <w:tab w:val="left" w:pos="2340"/>
      </w:tabs>
      <w:jc w:val="center"/>
      <w:rPr>
        <w:spacing w:val="0"/>
        <w:sz w:val="20"/>
        <w:szCs w:val="20"/>
      </w:rPr>
    </w:pPr>
    <w:r w:rsidRPr="001137D2">
      <w:rPr>
        <w:spacing w:val="0"/>
        <w:sz w:val="20"/>
        <w:szCs w:val="20"/>
        <w:lang w:val="de-DE"/>
      </w:rPr>
      <w:t>© 201</w:t>
    </w:r>
    <w:r w:rsidR="00113AE9" w:rsidRPr="001137D2">
      <w:rPr>
        <w:spacing w:val="0"/>
        <w:sz w:val="20"/>
        <w:szCs w:val="20"/>
        <w:lang w:val="de-DE"/>
      </w:rPr>
      <w:t>5</w:t>
    </w:r>
    <w:r w:rsidRPr="001137D2">
      <w:rPr>
        <w:spacing w:val="0"/>
        <w:sz w:val="20"/>
        <w:szCs w:val="20"/>
        <w:lang w:val="de-DE"/>
      </w:rPr>
      <w:t xml:space="preserve"> </w:t>
    </w:r>
    <w:r w:rsidRPr="001137D2">
      <w:rPr>
        <w:spacing w:val="0"/>
        <w:sz w:val="20"/>
        <w:szCs w:val="20"/>
      </w:rPr>
      <w:t>National Association of Community Health Centers, Inc.</w:t>
    </w:r>
  </w:p>
  <w:p w:rsidR="00D92034" w:rsidRPr="001137D2" w:rsidRDefault="00D92034" w:rsidP="00D92034">
    <w:pPr>
      <w:tabs>
        <w:tab w:val="left" w:pos="2340"/>
      </w:tabs>
      <w:jc w:val="center"/>
      <w:rPr>
        <w:spacing w:val="0"/>
        <w:sz w:val="20"/>
        <w:szCs w:val="20"/>
        <w:lang w:val="de-DE"/>
      </w:rPr>
    </w:pPr>
    <w:r w:rsidRPr="001137D2">
      <w:rPr>
        <w:spacing w:val="0"/>
        <w:sz w:val="20"/>
        <w:szCs w:val="20"/>
        <w:lang w:val="de-DE"/>
      </w:rPr>
      <w:t>and Feldesman Tucker Leifer Fidell LLP</w:t>
    </w:r>
  </w:p>
  <w:p w:rsidR="00D92034" w:rsidRPr="00503CAA" w:rsidRDefault="00D92034" w:rsidP="00D92034">
    <w:pPr>
      <w:tabs>
        <w:tab w:val="left" w:pos="2340"/>
      </w:tabs>
      <w:jc w:val="center"/>
      <w:rPr>
        <w:sz w:val="20"/>
        <w:szCs w:val="20"/>
        <w:lang w:val="de-DE"/>
      </w:rPr>
    </w:pPr>
  </w:p>
  <w:p w:rsidR="00AC61E0" w:rsidRPr="00D92034" w:rsidRDefault="00D92034" w:rsidP="00D92034">
    <w:pPr>
      <w:tabs>
        <w:tab w:val="left" w:pos="2340"/>
      </w:tabs>
      <w:jc w:val="center"/>
      <w:rP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BC602E">
      <w:rPr>
        <w:rStyle w:val="PageNumber"/>
        <w:noProof/>
        <w:sz w:val="20"/>
        <w:szCs w:val="20"/>
      </w:rPr>
      <w:t>2</w:t>
    </w:r>
    <w:r w:rsidRPr="00503C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E0" w:rsidRDefault="00AC61E0" w:rsidP="00AC61E0">
      <w:r>
        <w:separator/>
      </w:r>
    </w:p>
  </w:footnote>
  <w:footnote w:type="continuationSeparator" w:id="0">
    <w:p w:rsidR="00AC61E0" w:rsidRDefault="00AC61E0" w:rsidP="00AC61E0">
      <w:r>
        <w:continuationSeparator/>
      </w:r>
    </w:p>
  </w:footnote>
  <w:footnote w:id="1">
    <w:p w:rsidR="00DF14DE" w:rsidRPr="001137D2" w:rsidRDefault="00DF14DE" w:rsidP="007743F7">
      <w:pPr>
        <w:pStyle w:val="FootnoteText"/>
        <w:ind w:left="360" w:hanging="360"/>
        <w:rPr>
          <w:spacing w:val="0"/>
        </w:rPr>
      </w:pPr>
      <w:r>
        <w:rPr>
          <w:rStyle w:val="FootnoteReference"/>
        </w:rPr>
        <w:footnoteRef/>
      </w:r>
      <w:r>
        <w:t xml:space="preserve"> </w:t>
      </w:r>
      <w:r w:rsidR="007743F7">
        <w:tab/>
      </w:r>
      <w:r w:rsidRPr="001137D2">
        <w:rPr>
          <w:rFonts w:cs="Courier New"/>
          <w:spacing w:val="0"/>
        </w:rPr>
        <w:t>This list is not exhaustive</w:t>
      </w:r>
      <w:r w:rsidR="006700DC" w:rsidRPr="001137D2">
        <w:rPr>
          <w:rFonts w:cs="Courier New"/>
          <w:spacing w:val="0"/>
        </w:rPr>
        <w:t xml:space="preserve">. </w:t>
      </w:r>
      <w:r w:rsidRPr="001137D2">
        <w:rPr>
          <w:rFonts w:cs="Courier New"/>
          <w:spacing w:val="0"/>
        </w:rPr>
        <w:t>Health centers should refer to Yellow Book sections 3.33 through 3.58 for a complete discussion of independence standards and permissible/prohibited activities.</w:t>
      </w:r>
    </w:p>
  </w:footnote>
  <w:footnote w:id="2">
    <w:p w:rsidR="00F3650B" w:rsidRPr="001137D2" w:rsidRDefault="00F3650B" w:rsidP="007743F7">
      <w:pPr>
        <w:ind w:left="360" w:hanging="360"/>
        <w:rPr>
          <w:color w:val="000000"/>
          <w:spacing w:val="0"/>
          <w:sz w:val="20"/>
          <w:szCs w:val="20"/>
        </w:rPr>
      </w:pPr>
      <w:r w:rsidRPr="001137D2">
        <w:rPr>
          <w:rStyle w:val="FootnoteReference"/>
          <w:spacing w:val="0"/>
        </w:rPr>
        <w:footnoteRef/>
      </w:r>
      <w:r w:rsidRPr="001137D2">
        <w:rPr>
          <w:spacing w:val="0"/>
        </w:rPr>
        <w:t xml:space="preserve"> </w:t>
      </w:r>
      <w:r w:rsidR="007743F7" w:rsidRPr="001137D2">
        <w:rPr>
          <w:spacing w:val="0"/>
        </w:rPr>
        <w:tab/>
      </w:r>
      <w:r w:rsidRPr="001137D2">
        <w:rPr>
          <w:color w:val="000000"/>
          <w:spacing w:val="0"/>
          <w:sz w:val="20"/>
          <w:szCs w:val="20"/>
        </w:rPr>
        <w:t>The Authors of these materials include attorneys at the law firm of Feldesman Tucker Leifer Fidell LLP. The advice and recommendations consist of general guidance based on federal law and regulations and do not necessarily apply to all health centers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E0" w:rsidRPr="001137D2" w:rsidRDefault="00AC61E0" w:rsidP="00AC61E0">
    <w:pPr>
      <w:jc w:val="center"/>
      <w:rPr>
        <w:spacing w:val="0"/>
        <w:sz w:val="20"/>
      </w:rPr>
    </w:pPr>
    <w:r w:rsidRPr="001137D2">
      <w:rPr>
        <w:spacing w:val="0"/>
        <w:sz w:val="20"/>
      </w:rPr>
      <w:t xml:space="preserve">Volume II: </w:t>
    </w:r>
    <w:r w:rsidR="007743F7" w:rsidRPr="001137D2">
      <w:rPr>
        <w:spacing w:val="0"/>
        <w:sz w:val="20"/>
      </w:rPr>
      <w:t xml:space="preserve"> </w:t>
    </w:r>
    <w:r w:rsidR="00113AE9" w:rsidRPr="001137D2">
      <w:rPr>
        <w:spacing w:val="0"/>
        <w:sz w:val="20"/>
      </w:rPr>
      <w:t>Health Center</w:t>
    </w:r>
    <w:r w:rsidRPr="001137D2">
      <w:rPr>
        <w:spacing w:val="0"/>
        <w:sz w:val="20"/>
      </w:rPr>
      <w:t xml:space="preserve"> Risk Areas</w:t>
    </w:r>
  </w:p>
  <w:p w:rsidR="00AC61E0" w:rsidRDefault="00AC61E0" w:rsidP="00541E5D">
    <w:pPr>
      <w:jc w:val="center"/>
      <w:rPr>
        <w:sz w:val="20"/>
      </w:rPr>
    </w:pPr>
    <w:r w:rsidRPr="001137D2">
      <w:rPr>
        <w:spacing w:val="0"/>
        <w:sz w:val="20"/>
      </w:rPr>
      <w:t>Federal Grants Management</w:t>
    </w:r>
  </w:p>
  <w:p w:rsidR="00AC61E0" w:rsidRPr="00F354EE" w:rsidRDefault="00AC61E0" w:rsidP="00541E5D">
    <w:pPr>
      <w:pBdr>
        <w:bottom w:val="single" w:sz="12" w:space="1" w:color="auto"/>
      </w:pBdr>
      <w:jc w:val="center"/>
      <w:rPr>
        <w:sz w:val="20"/>
      </w:rPr>
    </w:pPr>
  </w:p>
  <w:p w:rsidR="00AC61E0" w:rsidRDefault="00AC6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4ABF"/>
    <w:multiLevelType w:val="hybridMultilevel"/>
    <w:tmpl w:val="20A835B2"/>
    <w:lvl w:ilvl="0" w:tplc="5D085CC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452A53"/>
    <w:multiLevelType w:val="hybridMultilevel"/>
    <w:tmpl w:val="DD3CE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DE3079"/>
    <w:multiLevelType w:val="hybridMultilevel"/>
    <w:tmpl w:val="4180256C"/>
    <w:lvl w:ilvl="0" w:tplc="F51E0A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36AB5"/>
    <w:multiLevelType w:val="hybridMultilevel"/>
    <w:tmpl w:val="FBA6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CC"/>
    <w:rsid w:val="0000738F"/>
    <w:rsid w:val="00051962"/>
    <w:rsid w:val="000B4285"/>
    <w:rsid w:val="000E492D"/>
    <w:rsid w:val="001137D2"/>
    <w:rsid w:val="00113AE9"/>
    <w:rsid w:val="00161BAD"/>
    <w:rsid w:val="00165CB9"/>
    <w:rsid w:val="00186080"/>
    <w:rsid w:val="00235D7B"/>
    <w:rsid w:val="0025078E"/>
    <w:rsid w:val="00324D3D"/>
    <w:rsid w:val="0036018B"/>
    <w:rsid w:val="0036590A"/>
    <w:rsid w:val="00392E7D"/>
    <w:rsid w:val="00397730"/>
    <w:rsid w:val="003F1E34"/>
    <w:rsid w:val="00402749"/>
    <w:rsid w:val="00425550"/>
    <w:rsid w:val="00441137"/>
    <w:rsid w:val="00541E5D"/>
    <w:rsid w:val="00544D0F"/>
    <w:rsid w:val="00554EC2"/>
    <w:rsid w:val="00585321"/>
    <w:rsid w:val="005C0006"/>
    <w:rsid w:val="005F1106"/>
    <w:rsid w:val="006700DC"/>
    <w:rsid w:val="006B17FF"/>
    <w:rsid w:val="0072794B"/>
    <w:rsid w:val="007625CD"/>
    <w:rsid w:val="007743F7"/>
    <w:rsid w:val="00774B89"/>
    <w:rsid w:val="007E1194"/>
    <w:rsid w:val="007F6206"/>
    <w:rsid w:val="008A7438"/>
    <w:rsid w:val="0090203E"/>
    <w:rsid w:val="00914D44"/>
    <w:rsid w:val="00920444"/>
    <w:rsid w:val="00947EDD"/>
    <w:rsid w:val="0095244F"/>
    <w:rsid w:val="00957401"/>
    <w:rsid w:val="00A07DCC"/>
    <w:rsid w:val="00AA1835"/>
    <w:rsid w:val="00AC61E0"/>
    <w:rsid w:val="00BC2745"/>
    <w:rsid w:val="00BC602E"/>
    <w:rsid w:val="00BD23E9"/>
    <w:rsid w:val="00CB206A"/>
    <w:rsid w:val="00D02674"/>
    <w:rsid w:val="00D34DD5"/>
    <w:rsid w:val="00D503B5"/>
    <w:rsid w:val="00D77DEC"/>
    <w:rsid w:val="00D92034"/>
    <w:rsid w:val="00D94B49"/>
    <w:rsid w:val="00DA5DD4"/>
    <w:rsid w:val="00DB2F67"/>
    <w:rsid w:val="00DF14DE"/>
    <w:rsid w:val="00E66E1B"/>
    <w:rsid w:val="00EA5240"/>
    <w:rsid w:val="00ED1EF0"/>
    <w:rsid w:val="00ED390C"/>
    <w:rsid w:val="00F20B4A"/>
    <w:rsid w:val="00F24EF3"/>
    <w:rsid w:val="00F33850"/>
    <w:rsid w:val="00F3650B"/>
    <w:rsid w:val="00FB4A1B"/>
    <w:rsid w:val="00FE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CC"/>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Header">
    <w:name w:val="header"/>
    <w:basedOn w:val="Normal"/>
    <w:link w:val="HeaderChar"/>
    <w:uiPriority w:val="99"/>
    <w:unhideWhenUsed/>
    <w:rsid w:val="00AC61E0"/>
    <w:pPr>
      <w:tabs>
        <w:tab w:val="center" w:pos="4680"/>
        <w:tab w:val="right" w:pos="9360"/>
      </w:tabs>
    </w:pPr>
  </w:style>
  <w:style w:type="character" w:customStyle="1" w:styleId="HeaderChar">
    <w:name w:val="Header Char"/>
    <w:basedOn w:val="DefaultParagraphFont"/>
    <w:link w:val="Header"/>
    <w:uiPriority w:val="99"/>
    <w:rsid w:val="00AC61E0"/>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AC61E0"/>
    <w:pPr>
      <w:tabs>
        <w:tab w:val="center" w:pos="4680"/>
        <w:tab w:val="right" w:pos="9360"/>
      </w:tabs>
    </w:pPr>
  </w:style>
  <w:style w:type="character" w:customStyle="1" w:styleId="FooterChar">
    <w:name w:val="Footer Char"/>
    <w:basedOn w:val="DefaultParagraphFont"/>
    <w:link w:val="Footer"/>
    <w:uiPriority w:val="99"/>
    <w:rsid w:val="00AC61E0"/>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AC61E0"/>
    <w:rPr>
      <w:rFonts w:ascii="Tahoma" w:hAnsi="Tahoma" w:cs="Tahoma"/>
      <w:sz w:val="16"/>
      <w:szCs w:val="16"/>
    </w:rPr>
  </w:style>
  <w:style w:type="character" w:customStyle="1" w:styleId="BalloonTextChar">
    <w:name w:val="Balloon Text Char"/>
    <w:basedOn w:val="DefaultParagraphFont"/>
    <w:link w:val="BalloonText"/>
    <w:uiPriority w:val="99"/>
    <w:semiHidden/>
    <w:rsid w:val="00AC61E0"/>
    <w:rPr>
      <w:rFonts w:ascii="Tahoma" w:eastAsia="Times New Roman" w:hAnsi="Tahoma" w:cs="Tahoma"/>
      <w:bCs/>
      <w:spacing w:val="-3"/>
      <w:sz w:val="16"/>
      <w:szCs w:val="16"/>
    </w:rPr>
  </w:style>
  <w:style w:type="character" w:styleId="Hyperlink">
    <w:name w:val="Hyperlink"/>
    <w:basedOn w:val="DefaultParagraphFont"/>
    <w:uiPriority w:val="99"/>
    <w:unhideWhenUsed/>
    <w:rsid w:val="00EA5240"/>
    <w:rPr>
      <w:color w:val="0000FF" w:themeColor="hyperlink"/>
      <w:u w:val="single"/>
    </w:rPr>
  </w:style>
  <w:style w:type="paragraph" w:styleId="FootnoteText">
    <w:name w:val="footnote text"/>
    <w:basedOn w:val="Normal"/>
    <w:link w:val="FootnoteTextChar"/>
    <w:uiPriority w:val="99"/>
    <w:semiHidden/>
    <w:unhideWhenUsed/>
    <w:rsid w:val="00D92034"/>
    <w:rPr>
      <w:sz w:val="20"/>
      <w:szCs w:val="20"/>
    </w:rPr>
  </w:style>
  <w:style w:type="character" w:customStyle="1" w:styleId="FootnoteTextChar">
    <w:name w:val="Footnote Text Char"/>
    <w:basedOn w:val="DefaultParagraphFont"/>
    <w:link w:val="FootnoteText"/>
    <w:uiPriority w:val="99"/>
    <w:semiHidden/>
    <w:rsid w:val="00D92034"/>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D92034"/>
    <w:rPr>
      <w:vertAlign w:val="superscript"/>
    </w:rPr>
  </w:style>
  <w:style w:type="character" w:styleId="PageNumber">
    <w:name w:val="page number"/>
    <w:semiHidden/>
    <w:unhideWhenUsed/>
    <w:rsid w:val="00D92034"/>
  </w:style>
  <w:style w:type="paragraph" w:styleId="ListParagraph">
    <w:name w:val="List Paragraph"/>
    <w:basedOn w:val="Normal"/>
    <w:uiPriority w:val="34"/>
    <w:qFormat/>
    <w:rsid w:val="0095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CC"/>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Header">
    <w:name w:val="header"/>
    <w:basedOn w:val="Normal"/>
    <w:link w:val="HeaderChar"/>
    <w:uiPriority w:val="99"/>
    <w:unhideWhenUsed/>
    <w:rsid w:val="00AC61E0"/>
    <w:pPr>
      <w:tabs>
        <w:tab w:val="center" w:pos="4680"/>
        <w:tab w:val="right" w:pos="9360"/>
      </w:tabs>
    </w:pPr>
  </w:style>
  <w:style w:type="character" w:customStyle="1" w:styleId="HeaderChar">
    <w:name w:val="Header Char"/>
    <w:basedOn w:val="DefaultParagraphFont"/>
    <w:link w:val="Header"/>
    <w:uiPriority w:val="99"/>
    <w:rsid w:val="00AC61E0"/>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AC61E0"/>
    <w:pPr>
      <w:tabs>
        <w:tab w:val="center" w:pos="4680"/>
        <w:tab w:val="right" w:pos="9360"/>
      </w:tabs>
    </w:pPr>
  </w:style>
  <w:style w:type="character" w:customStyle="1" w:styleId="FooterChar">
    <w:name w:val="Footer Char"/>
    <w:basedOn w:val="DefaultParagraphFont"/>
    <w:link w:val="Footer"/>
    <w:uiPriority w:val="99"/>
    <w:rsid w:val="00AC61E0"/>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AC61E0"/>
    <w:rPr>
      <w:rFonts w:ascii="Tahoma" w:hAnsi="Tahoma" w:cs="Tahoma"/>
      <w:sz w:val="16"/>
      <w:szCs w:val="16"/>
    </w:rPr>
  </w:style>
  <w:style w:type="character" w:customStyle="1" w:styleId="BalloonTextChar">
    <w:name w:val="Balloon Text Char"/>
    <w:basedOn w:val="DefaultParagraphFont"/>
    <w:link w:val="BalloonText"/>
    <w:uiPriority w:val="99"/>
    <w:semiHidden/>
    <w:rsid w:val="00AC61E0"/>
    <w:rPr>
      <w:rFonts w:ascii="Tahoma" w:eastAsia="Times New Roman" w:hAnsi="Tahoma" w:cs="Tahoma"/>
      <w:bCs/>
      <w:spacing w:val="-3"/>
      <w:sz w:val="16"/>
      <w:szCs w:val="16"/>
    </w:rPr>
  </w:style>
  <w:style w:type="character" w:styleId="Hyperlink">
    <w:name w:val="Hyperlink"/>
    <w:basedOn w:val="DefaultParagraphFont"/>
    <w:uiPriority w:val="99"/>
    <w:unhideWhenUsed/>
    <w:rsid w:val="00EA5240"/>
    <w:rPr>
      <w:color w:val="0000FF" w:themeColor="hyperlink"/>
      <w:u w:val="single"/>
    </w:rPr>
  </w:style>
  <w:style w:type="paragraph" w:styleId="FootnoteText">
    <w:name w:val="footnote text"/>
    <w:basedOn w:val="Normal"/>
    <w:link w:val="FootnoteTextChar"/>
    <w:uiPriority w:val="99"/>
    <w:semiHidden/>
    <w:unhideWhenUsed/>
    <w:rsid w:val="00D92034"/>
    <w:rPr>
      <w:sz w:val="20"/>
      <w:szCs w:val="20"/>
    </w:rPr>
  </w:style>
  <w:style w:type="character" w:customStyle="1" w:styleId="FootnoteTextChar">
    <w:name w:val="Footnote Text Char"/>
    <w:basedOn w:val="DefaultParagraphFont"/>
    <w:link w:val="FootnoteText"/>
    <w:uiPriority w:val="99"/>
    <w:semiHidden/>
    <w:rsid w:val="00D92034"/>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D92034"/>
    <w:rPr>
      <w:vertAlign w:val="superscript"/>
    </w:rPr>
  </w:style>
  <w:style w:type="character" w:styleId="PageNumber">
    <w:name w:val="page number"/>
    <w:semiHidden/>
    <w:unhideWhenUsed/>
    <w:rsid w:val="00D92034"/>
  </w:style>
  <w:style w:type="paragraph" w:styleId="ListParagraph">
    <w:name w:val="List Paragraph"/>
    <w:basedOn w:val="Normal"/>
    <w:uiPriority w:val="34"/>
    <w:qFormat/>
    <w:rsid w:val="0095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althcentercompliance.com/subscriber/pca-toolkit/volume-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6801-0A1C-42C0-B942-1806DE95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Waters, Nick</cp:lastModifiedBy>
  <cp:revision>3</cp:revision>
  <cp:lastPrinted>2015-08-17T19:00:00Z</cp:lastPrinted>
  <dcterms:created xsi:type="dcterms:W3CDTF">2015-11-13T22:24:00Z</dcterms:created>
  <dcterms:modified xsi:type="dcterms:W3CDTF">2016-08-26T16:38:00Z</dcterms:modified>
</cp:coreProperties>
</file>