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BA" w:rsidRPr="003C2298" w:rsidRDefault="008E62BA" w:rsidP="00CE6E6A">
      <w:pPr>
        <w:autoSpaceDE w:val="0"/>
        <w:autoSpaceDN w:val="0"/>
        <w:adjustRightInd w:val="0"/>
        <w:spacing w:before="11"/>
        <w:ind w:right="-20"/>
        <w:jc w:val="center"/>
        <w:rPr>
          <w:b/>
          <w:kern w:val="2"/>
          <w:sz w:val="32"/>
          <w:szCs w:val="32"/>
        </w:rPr>
      </w:pPr>
      <w:r w:rsidRPr="003C2298">
        <w:rPr>
          <w:b/>
          <w:bCs/>
          <w:kern w:val="2"/>
          <w:sz w:val="32"/>
          <w:szCs w:val="32"/>
        </w:rPr>
        <w:t xml:space="preserve">Ownership, </w:t>
      </w:r>
      <w:r w:rsidRPr="003C2298">
        <w:rPr>
          <w:b/>
          <w:bCs/>
          <w:iCs/>
          <w:kern w:val="2"/>
          <w:sz w:val="32"/>
          <w:szCs w:val="32"/>
        </w:rPr>
        <w:t>Use, and Disposition of Property, Equipment, and Supplies Acquired with Federal Funds</w:t>
      </w:r>
      <w:r w:rsidR="00B631B0" w:rsidRPr="003C2298">
        <w:rPr>
          <w:b/>
          <w:bCs/>
          <w:iCs/>
          <w:kern w:val="2"/>
          <w:sz w:val="32"/>
          <w:szCs w:val="32"/>
        </w:rPr>
        <w:t>:</w:t>
      </w:r>
      <w:r w:rsidR="00B631B0" w:rsidRPr="003C2298">
        <w:rPr>
          <w:b/>
          <w:bCs/>
          <w:kern w:val="2"/>
          <w:sz w:val="32"/>
          <w:szCs w:val="32"/>
        </w:rPr>
        <w:t xml:space="preserve"> </w:t>
      </w:r>
      <w:r w:rsidR="00FE211B" w:rsidRPr="003C2298">
        <w:rPr>
          <w:b/>
          <w:bCs/>
          <w:kern w:val="2"/>
          <w:sz w:val="32"/>
          <w:szCs w:val="32"/>
        </w:rPr>
        <w:t xml:space="preserve"> </w:t>
      </w:r>
      <w:r w:rsidR="00FE211B" w:rsidRPr="003C2298">
        <w:rPr>
          <w:b/>
          <w:bCs/>
          <w:kern w:val="2"/>
          <w:sz w:val="32"/>
          <w:szCs w:val="32"/>
        </w:rPr>
        <w:br/>
      </w:r>
      <w:r w:rsidR="00B631B0" w:rsidRPr="003C2298">
        <w:rPr>
          <w:b/>
          <w:bCs/>
          <w:kern w:val="2"/>
          <w:sz w:val="32"/>
          <w:szCs w:val="32"/>
        </w:rPr>
        <w:t>Sample Policy and Procedure</w:t>
      </w:r>
      <w:r w:rsidRPr="003C2298">
        <w:rPr>
          <w:rStyle w:val="FootnoteReference"/>
          <w:b/>
          <w:kern w:val="2"/>
          <w:sz w:val="32"/>
          <w:szCs w:val="32"/>
        </w:rPr>
        <w:footnoteReference w:id="1"/>
      </w:r>
    </w:p>
    <w:p w:rsidR="008E62BA" w:rsidRPr="003C2298" w:rsidRDefault="008E62BA" w:rsidP="00B54B9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kern w:val="2"/>
        </w:rPr>
      </w:pPr>
    </w:p>
    <w:p w:rsidR="00540440" w:rsidRPr="003C2298" w:rsidRDefault="00540440" w:rsidP="00B54B9E">
      <w:pPr>
        <w:jc w:val="both"/>
        <w:rPr>
          <w:kern w:val="2"/>
        </w:rPr>
      </w:pPr>
    </w:p>
    <w:p w:rsidR="00540440" w:rsidRPr="003C2298" w:rsidRDefault="00540440" w:rsidP="00B54B9E">
      <w:pPr>
        <w:pStyle w:val="Heading1"/>
        <w:jc w:val="both"/>
        <w:rPr>
          <w:b/>
          <w:bCs w:val="0"/>
          <w:spacing w:val="0"/>
          <w:kern w:val="2"/>
          <w:sz w:val="24"/>
        </w:rPr>
      </w:pPr>
      <w:proofErr w:type="gramStart"/>
      <w:r w:rsidRPr="003C2298">
        <w:rPr>
          <w:b/>
          <w:bCs w:val="0"/>
          <w:spacing w:val="0"/>
          <w:kern w:val="2"/>
          <w:sz w:val="24"/>
        </w:rPr>
        <w:t>Policy</w:t>
      </w:r>
      <w:r w:rsidR="008E62BA" w:rsidRPr="003C2298">
        <w:rPr>
          <w:b/>
          <w:bCs w:val="0"/>
          <w:spacing w:val="0"/>
          <w:kern w:val="2"/>
          <w:sz w:val="24"/>
        </w:rPr>
        <w:t>.</w:t>
      </w:r>
      <w:proofErr w:type="gramEnd"/>
    </w:p>
    <w:p w:rsidR="00540440" w:rsidRPr="003C2298" w:rsidRDefault="00540440" w:rsidP="00B54B9E">
      <w:pPr>
        <w:jc w:val="both"/>
        <w:rPr>
          <w:kern w:val="2"/>
        </w:rPr>
      </w:pPr>
    </w:p>
    <w:p w:rsidR="00540440" w:rsidRPr="003C2298" w:rsidRDefault="00283D35" w:rsidP="00B54B9E">
      <w:pPr>
        <w:tabs>
          <w:tab w:val="left" w:pos="360"/>
        </w:tabs>
        <w:jc w:val="both"/>
        <w:rPr>
          <w:kern w:val="2"/>
        </w:rPr>
      </w:pPr>
      <w:r w:rsidRPr="003C2298">
        <w:rPr>
          <w:kern w:val="2"/>
        </w:rPr>
        <w:t xml:space="preserve">The </w:t>
      </w:r>
      <w:r w:rsidR="003B7736">
        <w:rPr>
          <w:i/>
          <w:kern w:val="2"/>
        </w:rPr>
        <w:t>[PCA-HCCN n</w:t>
      </w:r>
      <w:r w:rsidRPr="003C2298">
        <w:rPr>
          <w:i/>
          <w:kern w:val="2"/>
        </w:rPr>
        <w:t>ame]</w:t>
      </w:r>
      <w:r w:rsidR="003B7736">
        <w:rPr>
          <w:kern w:val="2"/>
        </w:rPr>
        <w:t xml:space="preserve"> (“PCA-HCCN</w:t>
      </w:r>
      <w:r w:rsidRPr="003C2298">
        <w:rPr>
          <w:kern w:val="2"/>
        </w:rPr>
        <w:t>”)</w:t>
      </w:r>
      <w:r w:rsidR="00540440" w:rsidRPr="003C2298">
        <w:rPr>
          <w:kern w:val="2"/>
        </w:rPr>
        <w:t xml:space="preserve"> is committed to ensuring that all real property, equipment</w:t>
      </w:r>
      <w:r w:rsidR="00651190" w:rsidRPr="003C2298">
        <w:rPr>
          <w:kern w:val="2"/>
        </w:rPr>
        <w:t>,</w:t>
      </w:r>
      <w:r w:rsidR="00540440" w:rsidRPr="003C2298">
        <w:rPr>
          <w:kern w:val="2"/>
        </w:rPr>
        <w:t xml:space="preserve"> and supplies purchased (and intangible property created), in whole or in part, with </w:t>
      </w:r>
      <w:r w:rsidR="008E62BA" w:rsidRPr="003C2298">
        <w:rPr>
          <w:kern w:val="2"/>
        </w:rPr>
        <w:t>f</w:t>
      </w:r>
      <w:r w:rsidR="00540440" w:rsidRPr="003C2298">
        <w:rPr>
          <w:kern w:val="2"/>
        </w:rPr>
        <w:t>ederal funds is used, maintained</w:t>
      </w:r>
      <w:r w:rsidR="00651190" w:rsidRPr="003C2298">
        <w:rPr>
          <w:kern w:val="2"/>
        </w:rPr>
        <w:t>,</w:t>
      </w:r>
      <w:r w:rsidR="00540440" w:rsidRPr="003C2298">
        <w:rPr>
          <w:kern w:val="2"/>
        </w:rPr>
        <w:t xml:space="preserve"> and ultimately disposed of in an effective and efficient manner and in compliance with the provisions of applicable </w:t>
      </w:r>
      <w:r w:rsidR="008E62BA" w:rsidRPr="003C2298">
        <w:rPr>
          <w:kern w:val="2"/>
        </w:rPr>
        <w:t>f</w:t>
      </w:r>
      <w:r w:rsidR="00540440" w:rsidRPr="003C2298">
        <w:rPr>
          <w:kern w:val="2"/>
        </w:rPr>
        <w:t>ederal law and polic</w:t>
      </w:r>
      <w:r w:rsidR="00DB4349" w:rsidRPr="003C2298">
        <w:rPr>
          <w:kern w:val="2"/>
        </w:rPr>
        <w:t>y</w:t>
      </w:r>
      <w:r w:rsidR="00322381" w:rsidRPr="003C2298">
        <w:rPr>
          <w:kern w:val="2"/>
        </w:rPr>
        <w:t xml:space="preserve">. </w:t>
      </w:r>
      <w:r w:rsidR="003B7736">
        <w:rPr>
          <w:kern w:val="2"/>
        </w:rPr>
        <w:t>PCA-HCCN</w:t>
      </w:r>
      <w:r w:rsidR="00540440" w:rsidRPr="003C2298">
        <w:rPr>
          <w:kern w:val="2"/>
        </w:rPr>
        <w:t xml:space="preserve"> will establish and maintain appropriate procedures addressing </w:t>
      </w:r>
      <w:r w:rsidR="00650EC2" w:rsidRPr="003C2298">
        <w:rPr>
          <w:kern w:val="2"/>
        </w:rPr>
        <w:t xml:space="preserve">the </w:t>
      </w:r>
      <w:r w:rsidR="00540440" w:rsidRPr="003C2298">
        <w:rPr>
          <w:kern w:val="2"/>
        </w:rPr>
        <w:t>management of property, equipment</w:t>
      </w:r>
      <w:r w:rsidR="009C51DB" w:rsidRPr="003C2298">
        <w:rPr>
          <w:kern w:val="2"/>
        </w:rPr>
        <w:t>,</w:t>
      </w:r>
      <w:r w:rsidR="00540440" w:rsidRPr="003C2298">
        <w:rPr>
          <w:kern w:val="2"/>
        </w:rPr>
        <w:t xml:space="preserve"> and supplies, including calculation of the applicable </w:t>
      </w:r>
      <w:r w:rsidR="008E62BA" w:rsidRPr="003C2298">
        <w:rPr>
          <w:kern w:val="2"/>
        </w:rPr>
        <w:t>f</w:t>
      </w:r>
      <w:r w:rsidR="00540440" w:rsidRPr="003C2298">
        <w:rPr>
          <w:kern w:val="2"/>
        </w:rPr>
        <w:t>ederal share in such property, equipment</w:t>
      </w:r>
      <w:r w:rsidR="009C51DB" w:rsidRPr="003C2298">
        <w:rPr>
          <w:kern w:val="2"/>
        </w:rPr>
        <w:t>,</w:t>
      </w:r>
      <w:r w:rsidR="00540440" w:rsidRPr="003C2298">
        <w:rPr>
          <w:kern w:val="2"/>
        </w:rPr>
        <w:t xml:space="preserve"> and supplies.</w:t>
      </w:r>
    </w:p>
    <w:p w:rsidR="00540440" w:rsidRPr="003C2298" w:rsidRDefault="00540440" w:rsidP="00B54B9E">
      <w:pPr>
        <w:jc w:val="both"/>
        <w:rPr>
          <w:kern w:val="2"/>
        </w:rPr>
      </w:pPr>
    </w:p>
    <w:p w:rsidR="00CD112B" w:rsidRPr="003C2298" w:rsidRDefault="00540440" w:rsidP="00B54B9E">
      <w:pPr>
        <w:jc w:val="both"/>
        <w:rPr>
          <w:bCs/>
          <w:i/>
          <w:kern w:val="2"/>
        </w:rPr>
      </w:pPr>
      <w:proofErr w:type="gramStart"/>
      <w:r w:rsidRPr="003C2298">
        <w:rPr>
          <w:b/>
          <w:kern w:val="2"/>
        </w:rPr>
        <w:t>Procedure</w:t>
      </w:r>
      <w:r w:rsidR="008E62BA" w:rsidRPr="003C2298">
        <w:rPr>
          <w:b/>
          <w:kern w:val="2"/>
        </w:rPr>
        <w:t>.</w:t>
      </w:r>
      <w:proofErr w:type="gramEnd"/>
      <w:r w:rsidR="006B59DD" w:rsidRPr="003C2298">
        <w:rPr>
          <w:rStyle w:val="FootnoteReference"/>
          <w:kern w:val="2"/>
        </w:rPr>
        <w:footnoteReference w:id="2"/>
      </w:r>
      <w:r w:rsidR="00CD112B" w:rsidRPr="003C2298">
        <w:rPr>
          <w:kern w:val="2"/>
        </w:rPr>
        <w:t xml:space="preserve">  </w:t>
      </w:r>
    </w:p>
    <w:p w:rsidR="00540440" w:rsidRPr="003C2298" w:rsidRDefault="00540440" w:rsidP="00B54B9E">
      <w:pPr>
        <w:jc w:val="both"/>
        <w:rPr>
          <w:kern w:val="2"/>
        </w:rPr>
      </w:pPr>
    </w:p>
    <w:p w:rsidR="00540440" w:rsidRPr="003C2298" w:rsidRDefault="00540440" w:rsidP="00747440">
      <w:pPr>
        <w:tabs>
          <w:tab w:val="left" w:pos="360"/>
        </w:tabs>
        <w:jc w:val="both"/>
        <w:rPr>
          <w:kern w:val="2"/>
        </w:rPr>
      </w:pPr>
      <w:r w:rsidRPr="003C2298">
        <w:rPr>
          <w:b/>
          <w:bCs/>
          <w:kern w:val="2"/>
        </w:rPr>
        <w:t>1.</w:t>
      </w:r>
      <w:r w:rsidR="0074296A" w:rsidRPr="003C2298">
        <w:rPr>
          <w:b/>
          <w:bCs/>
          <w:kern w:val="2"/>
        </w:rPr>
        <w:tab/>
      </w:r>
      <w:r w:rsidRPr="003C2298">
        <w:rPr>
          <w:b/>
          <w:bCs/>
          <w:kern w:val="2"/>
        </w:rPr>
        <w:t>Insurance.</w:t>
      </w:r>
      <w:r w:rsidR="00650EC2" w:rsidRPr="003C2298">
        <w:rPr>
          <w:kern w:val="2"/>
        </w:rPr>
        <w:t xml:space="preserve">  </w:t>
      </w:r>
      <w:r w:rsidR="003B7736">
        <w:rPr>
          <w:kern w:val="2"/>
        </w:rPr>
        <w:t>PCA-HCCN</w:t>
      </w:r>
      <w:r w:rsidRPr="003C2298">
        <w:rPr>
          <w:kern w:val="2"/>
        </w:rPr>
        <w:t xml:space="preserve"> will secure and maintain insurance coverage for real property and equipment acquired with </w:t>
      </w:r>
      <w:r w:rsidR="008E62BA" w:rsidRPr="003C2298">
        <w:rPr>
          <w:kern w:val="2"/>
        </w:rPr>
        <w:t>f</w:t>
      </w:r>
      <w:r w:rsidR="00DB4349" w:rsidRPr="003C2298">
        <w:rPr>
          <w:kern w:val="2"/>
        </w:rPr>
        <w:t>ederal</w:t>
      </w:r>
      <w:r w:rsidRPr="003C2298">
        <w:rPr>
          <w:kern w:val="2"/>
        </w:rPr>
        <w:t xml:space="preserve"> funds which is, at a minimum, equivalent to that provi</w:t>
      </w:r>
      <w:r w:rsidR="00650EC2" w:rsidRPr="003C2298">
        <w:rPr>
          <w:kern w:val="2"/>
        </w:rPr>
        <w:t>ded for other property owned by</w:t>
      </w:r>
      <w:r w:rsidR="001455FD" w:rsidRPr="003C2298">
        <w:rPr>
          <w:kern w:val="2"/>
        </w:rPr>
        <w:t xml:space="preserve"> </w:t>
      </w:r>
      <w:r w:rsidR="003B7736">
        <w:rPr>
          <w:kern w:val="2"/>
        </w:rPr>
        <w:t>PCA-HCCN</w:t>
      </w:r>
      <w:r w:rsidRPr="003C2298">
        <w:rPr>
          <w:kern w:val="2"/>
        </w:rPr>
        <w:t>.</w:t>
      </w:r>
    </w:p>
    <w:p w:rsidR="00540440" w:rsidRPr="003C2298" w:rsidRDefault="00540440" w:rsidP="00B54B9E">
      <w:pPr>
        <w:jc w:val="both"/>
        <w:rPr>
          <w:b/>
          <w:bCs/>
          <w:kern w:val="2"/>
        </w:rPr>
      </w:pPr>
    </w:p>
    <w:p w:rsidR="00322381" w:rsidRPr="003C2298" w:rsidRDefault="00322381" w:rsidP="00B54B9E">
      <w:pPr>
        <w:tabs>
          <w:tab w:val="left" w:pos="360"/>
        </w:tabs>
        <w:jc w:val="both"/>
        <w:rPr>
          <w:kern w:val="2"/>
        </w:rPr>
      </w:pPr>
      <w:r w:rsidRPr="003C2298">
        <w:rPr>
          <w:b/>
          <w:bCs/>
          <w:kern w:val="2"/>
        </w:rPr>
        <w:t>2.</w:t>
      </w:r>
      <w:r w:rsidR="0074296A" w:rsidRPr="003C2298">
        <w:rPr>
          <w:b/>
          <w:bCs/>
          <w:kern w:val="2"/>
        </w:rPr>
        <w:tab/>
      </w:r>
      <w:r w:rsidRPr="003C2298">
        <w:rPr>
          <w:b/>
          <w:bCs/>
          <w:kern w:val="2"/>
        </w:rPr>
        <w:t>Real p</w:t>
      </w:r>
      <w:r w:rsidR="00540440" w:rsidRPr="003C2298">
        <w:rPr>
          <w:b/>
          <w:bCs/>
          <w:kern w:val="2"/>
        </w:rPr>
        <w:t>roperty.</w:t>
      </w:r>
      <w:r w:rsidR="00E76779">
        <w:rPr>
          <w:kern w:val="2"/>
        </w:rPr>
        <w:t xml:space="preserve">  </w:t>
      </w:r>
    </w:p>
    <w:p w:rsidR="00322381" w:rsidRPr="003C2298" w:rsidRDefault="00322381" w:rsidP="00B54B9E">
      <w:pPr>
        <w:jc w:val="both"/>
        <w:rPr>
          <w:kern w:val="2"/>
        </w:rPr>
      </w:pPr>
    </w:p>
    <w:p w:rsidR="00322381" w:rsidRPr="003C2298" w:rsidRDefault="00C25E92" w:rsidP="00747440">
      <w:pPr>
        <w:numPr>
          <w:ilvl w:val="0"/>
          <w:numId w:val="4"/>
        </w:numPr>
        <w:tabs>
          <w:tab w:val="left" w:pos="720"/>
        </w:tabs>
        <w:jc w:val="both"/>
        <w:rPr>
          <w:kern w:val="2"/>
        </w:rPr>
      </w:pPr>
      <w:r w:rsidRPr="003C2298">
        <w:rPr>
          <w:kern w:val="2"/>
        </w:rPr>
        <w:t xml:space="preserve">Prior to the expenditure of </w:t>
      </w:r>
      <w:r w:rsidR="008E62BA" w:rsidRPr="003C2298">
        <w:rPr>
          <w:kern w:val="2"/>
        </w:rPr>
        <w:t>f</w:t>
      </w:r>
      <w:r w:rsidRPr="003C2298">
        <w:rPr>
          <w:kern w:val="2"/>
        </w:rPr>
        <w:t xml:space="preserve">ederal funds for </w:t>
      </w:r>
      <w:r w:rsidR="00540440" w:rsidRPr="003C2298">
        <w:rPr>
          <w:kern w:val="2"/>
        </w:rPr>
        <w:t>the acquisition</w:t>
      </w:r>
      <w:r w:rsidR="00CD112B" w:rsidRPr="003C2298">
        <w:rPr>
          <w:kern w:val="2"/>
        </w:rPr>
        <w:t xml:space="preserve"> or</w:t>
      </w:r>
      <w:r w:rsidR="00540440" w:rsidRPr="003C2298">
        <w:rPr>
          <w:kern w:val="2"/>
        </w:rPr>
        <w:t xml:space="preserve"> </w:t>
      </w:r>
      <w:r w:rsidR="00E47B97" w:rsidRPr="003C2298">
        <w:rPr>
          <w:kern w:val="2"/>
        </w:rPr>
        <w:t>improvement</w:t>
      </w:r>
      <w:r w:rsidR="000E42DB" w:rsidRPr="003C2298">
        <w:rPr>
          <w:kern w:val="2"/>
        </w:rPr>
        <w:t xml:space="preserve"> of land or structures</w:t>
      </w:r>
      <w:r w:rsidR="00650EC2" w:rsidRPr="003C2298">
        <w:rPr>
          <w:kern w:val="2"/>
        </w:rPr>
        <w:t xml:space="preserve">, </w:t>
      </w:r>
      <w:r w:rsidR="003B7736">
        <w:rPr>
          <w:kern w:val="2"/>
        </w:rPr>
        <w:t>PCA-HCCN</w:t>
      </w:r>
      <w:r w:rsidR="00540440" w:rsidRPr="003C2298">
        <w:rPr>
          <w:kern w:val="2"/>
        </w:rPr>
        <w:t xml:space="preserve"> will file a Notice of Federal Interest in the appropriate official records office of the jurisdiction in which the property is located.</w:t>
      </w:r>
    </w:p>
    <w:p w:rsidR="00322381" w:rsidRPr="003C2298" w:rsidRDefault="00322381" w:rsidP="00747440">
      <w:pPr>
        <w:tabs>
          <w:tab w:val="left" w:pos="720"/>
        </w:tabs>
        <w:ind w:left="720" w:hanging="360"/>
        <w:jc w:val="both"/>
        <w:rPr>
          <w:kern w:val="2"/>
        </w:rPr>
      </w:pPr>
    </w:p>
    <w:p w:rsidR="00322381" w:rsidRPr="003C2298" w:rsidRDefault="00540440" w:rsidP="00747440">
      <w:pPr>
        <w:numPr>
          <w:ilvl w:val="0"/>
          <w:numId w:val="4"/>
        </w:numPr>
        <w:tabs>
          <w:tab w:val="left" w:pos="720"/>
        </w:tabs>
        <w:jc w:val="both"/>
        <w:rPr>
          <w:kern w:val="2"/>
        </w:rPr>
      </w:pPr>
      <w:r w:rsidRPr="003C2298">
        <w:rPr>
          <w:kern w:val="2"/>
        </w:rPr>
        <w:t xml:space="preserve">When </w:t>
      </w:r>
      <w:r w:rsidR="003B7736">
        <w:rPr>
          <w:kern w:val="2"/>
        </w:rPr>
        <w:t>PCA-HCCN</w:t>
      </w:r>
      <w:r w:rsidRPr="003C2298">
        <w:rPr>
          <w:kern w:val="2"/>
        </w:rPr>
        <w:t xml:space="preserve"> determines that the real property is no longer needed for the purpose of the original project, it will obtain written approval from </w:t>
      </w:r>
      <w:r w:rsidR="008E62BA" w:rsidRPr="003C2298">
        <w:rPr>
          <w:kern w:val="2"/>
        </w:rPr>
        <w:t>the appropriate f</w:t>
      </w:r>
      <w:r w:rsidR="00DB4349" w:rsidRPr="003C2298">
        <w:rPr>
          <w:kern w:val="2"/>
        </w:rPr>
        <w:t>ederal grantor agency</w:t>
      </w:r>
      <w:r w:rsidRPr="003C2298">
        <w:rPr>
          <w:kern w:val="2"/>
        </w:rPr>
        <w:t xml:space="preserve"> to use the property in other </w:t>
      </w:r>
      <w:r w:rsidR="008E62BA" w:rsidRPr="003C2298">
        <w:rPr>
          <w:kern w:val="2"/>
        </w:rPr>
        <w:t>f</w:t>
      </w:r>
      <w:r w:rsidRPr="003C2298">
        <w:rPr>
          <w:kern w:val="2"/>
        </w:rPr>
        <w:t>ederally-sponsored projects.</w:t>
      </w:r>
    </w:p>
    <w:p w:rsidR="00322381" w:rsidRPr="003C2298" w:rsidRDefault="00322381" w:rsidP="00747440">
      <w:pPr>
        <w:tabs>
          <w:tab w:val="left" w:pos="720"/>
        </w:tabs>
        <w:ind w:left="720" w:hanging="360"/>
        <w:jc w:val="both"/>
        <w:rPr>
          <w:kern w:val="2"/>
        </w:rPr>
      </w:pPr>
    </w:p>
    <w:p w:rsidR="00322381" w:rsidRPr="003C2298" w:rsidRDefault="00650EC2" w:rsidP="00747440">
      <w:pPr>
        <w:numPr>
          <w:ilvl w:val="0"/>
          <w:numId w:val="4"/>
        </w:numPr>
        <w:tabs>
          <w:tab w:val="left" w:pos="720"/>
        </w:tabs>
        <w:jc w:val="both"/>
        <w:rPr>
          <w:kern w:val="2"/>
        </w:rPr>
      </w:pPr>
      <w:r w:rsidRPr="003C2298">
        <w:rPr>
          <w:kern w:val="2"/>
        </w:rPr>
        <w:t>When</w:t>
      </w:r>
      <w:r w:rsidR="00E47B97" w:rsidRPr="003C2298">
        <w:rPr>
          <w:kern w:val="2"/>
        </w:rPr>
        <w:t xml:space="preserve"> </w:t>
      </w:r>
      <w:r w:rsidR="003B7736">
        <w:rPr>
          <w:kern w:val="2"/>
        </w:rPr>
        <w:t>PCA-HCCN</w:t>
      </w:r>
      <w:r w:rsidR="00540440" w:rsidRPr="003C2298">
        <w:rPr>
          <w:kern w:val="2"/>
        </w:rPr>
        <w:t xml:space="preserve"> no longer needs the real property for either the original project or a subsequently approved project, it will request disposition instructions from </w:t>
      </w:r>
      <w:r w:rsidR="00CE28DB" w:rsidRPr="003C2298">
        <w:rPr>
          <w:kern w:val="2"/>
        </w:rPr>
        <w:t>the appropriate f</w:t>
      </w:r>
      <w:r w:rsidR="00E47B97" w:rsidRPr="003C2298">
        <w:rPr>
          <w:kern w:val="2"/>
        </w:rPr>
        <w:t>ederal grantor agency</w:t>
      </w:r>
      <w:r w:rsidR="00540440" w:rsidRPr="003C2298">
        <w:rPr>
          <w:kern w:val="2"/>
        </w:rPr>
        <w:t>.</w:t>
      </w:r>
      <w:r w:rsidRPr="003C2298">
        <w:rPr>
          <w:kern w:val="2"/>
        </w:rPr>
        <w:t xml:space="preserve"> </w:t>
      </w:r>
      <w:r w:rsidR="003B7736">
        <w:rPr>
          <w:kern w:val="2"/>
        </w:rPr>
        <w:t>PCA-HCCN</w:t>
      </w:r>
      <w:r w:rsidR="009C51DB" w:rsidRPr="003C2298">
        <w:rPr>
          <w:kern w:val="2"/>
        </w:rPr>
        <w:t xml:space="preserve"> will comply with </w:t>
      </w:r>
      <w:r w:rsidR="00E47B97" w:rsidRPr="003C2298">
        <w:rPr>
          <w:kern w:val="2"/>
        </w:rPr>
        <w:t>grantor agency</w:t>
      </w:r>
      <w:r w:rsidR="00540440" w:rsidRPr="003C2298">
        <w:rPr>
          <w:kern w:val="2"/>
        </w:rPr>
        <w:t xml:space="preserve"> instruct</w:t>
      </w:r>
      <w:r w:rsidR="009C51DB" w:rsidRPr="003C2298">
        <w:rPr>
          <w:kern w:val="2"/>
        </w:rPr>
        <w:t>ions as to whether</w:t>
      </w:r>
      <w:r w:rsidR="00540440" w:rsidRPr="003C2298">
        <w:rPr>
          <w:kern w:val="2"/>
        </w:rPr>
        <w:t xml:space="preserve">: </w:t>
      </w:r>
    </w:p>
    <w:p w:rsidR="00322381" w:rsidRPr="003C2298" w:rsidRDefault="00650EC2" w:rsidP="00281A90">
      <w:pPr>
        <w:numPr>
          <w:ilvl w:val="2"/>
          <w:numId w:val="4"/>
        </w:numPr>
        <w:ind w:left="1260" w:hanging="360"/>
        <w:jc w:val="both"/>
        <w:rPr>
          <w:kern w:val="2"/>
        </w:rPr>
      </w:pPr>
      <w:r w:rsidRPr="003C2298">
        <w:rPr>
          <w:kern w:val="2"/>
        </w:rPr>
        <w:lastRenderedPageBreak/>
        <w:t>T</w:t>
      </w:r>
      <w:r w:rsidR="00540440" w:rsidRPr="003C2298">
        <w:rPr>
          <w:kern w:val="2"/>
        </w:rPr>
        <w:t xml:space="preserve">o retain the title and compensate </w:t>
      </w:r>
      <w:r w:rsidR="00CE28DB" w:rsidRPr="003C2298">
        <w:rPr>
          <w:kern w:val="2"/>
        </w:rPr>
        <w:t>the Federal G</w:t>
      </w:r>
      <w:r w:rsidR="00E47B97" w:rsidRPr="003C2298">
        <w:rPr>
          <w:kern w:val="2"/>
        </w:rPr>
        <w:t>overnment</w:t>
      </w:r>
      <w:r w:rsidR="00540440" w:rsidRPr="003C2298">
        <w:rPr>
          <w:kern w:val="2"/>
        </w:rPr>
        <w:t xml:space="preserve"> for that percentage of the current fair market value attributable to the “</w:t>
      </w:r>
      <w:r w:rsidR="00F1086D" w:rsidRPr="003C2298">
        <w:rPr>
          <w:kern w:val="2"/>
        </w:rPr>
        <w:t>f</w:t>
      </w:r>
      <w:r w:rsidR="00540440" w:rsidRPr="003C2298">
        <w:rPr>
          <w:kern w:val="2"/>
        </w:rPr>
        <w:t>ederal share;</w:t>
      </w:r>
      <w:r w:rsidR="009C51DB" w:rsidRPr="003C2298">
        <w:rPr>
          <w:kern w:val="2"/>
        </w:rPr>
        <w:t>”</w:t>
      </w:r>
    </w:p>
    <w:p w:rsidR="00322381" w:rsidRPr="003C2298" w:rsidRDefault="00650EC2" w:rsidP="00281A90">
      <w:pPr>
        <w:numPr>
          <w:ilvl w:val="2"/>
          <w:numId w:val="4"/>
        </w:numPr>
        <w:ind w:left="1260" w:hanging="360"/>
        <w:jc w:val="both"/>
        <w:rPr>
          <w:kern w:val="2"/>
        </w:rPr>
      </w:pPr>
      <w:r w:rsidRPr="003C2298">
        <w:rPr>
          <w:kern w:val="2"/>
        </w:rPr>
        <w:t>To</w:t>
      </w:r>
      <w:r w:rsidR="00540440" w:rsidRPr="003C2298">
        <w:rPr>
          <w:kern w:val="2"/>
        </w:rPr>
        <w:t xml:space="preserve"> sell the property and compensate </w:t>
      </w:r>
      <w:r w:rsidR="00F1086D" w:rsidRPr="003C2298">
        <w:rPr>
          <w:kern w:val="2"/>
        </w:rPr>
        <w:t>the Federal G</w:t>
      </w:r>
      <w:r w:rsidR="00E47B97" w:rsidRPr="003C2298">
        <w:rPr>
          <w:kern w:val="2"/>
        </w:rPr>
        <w:t>overnment</w:t>
      </w:r>
      <w:r w:rsidR="00540440" w:rsidRPr="003C2298">
        <w:rPr>
          <w:kern w:val="2"/>
        </w:rPr>
        <w:t xml:space="preserve"> for that percentage of the fair market value attributable to the “</w:t>
      </w:r>
      <w:r w:rsidR="00F1086D" w:rsidRPr="003C2298">
        <w:rPr>
          <w:kern w:val="2"/>
        </w:rPr>
        <w:t>f</w:t>
      </w:r>
      <w:r w:rsidR="00540440" w:rsidRPr="003C2298">
        <w:rPr>
          <w:kern w:val="2"/>
        </w:rPr>
        <w:t>ederal share” (minus actual and reasona</w:t>
      </w:r>
      <w:r w:rsidR="00322381" w:rsidRPr="003C2298">
        <w:rPr>
          <w:kern w:val="2"/>
        </w:rPr>
        <w:t>ble selling expenses); or</w:t>
      </w:r>
    </w:p>
    <w:p w:rsidR="00540440" w:rsidRPr="003C2298" w:rsidRDefault="00F16A30" w:rsidP="00281A90">
      <w:pPr>
        <w:numPr>
          <w:ilvl w:val="2"/>
          <w:numId w:val="4"/>
        </w:numPr>
        <w:ind w:left="1260" w:hanging="360"/>
        <w:jc w:val="both"/>
        <w:rPr>
          <w:kern w:val="2"/>
        </w:rPr>
      </w:pPr>
      <w:r w:rsidRPr="003C2298">
        <w:rPr>
          <w:kern w:val="2"/>
        </w:rPr>
        <w:t>T</w:t>
      </w:r>
      <w:r w:rsidR="00540440" w:rsidRPr="003C2298">
        <w:rPr>
          <w:kern w:val="2"/>
        </w:rPr>
        <w:t xml:space="preserve">o transfer title to </w:t>
      </w:r>
      <w:r w:rsidR="00964195" w:rsidRPr="003C2298">
        <w:rPr>
          <w:kern w:val="2"/>
        </w:rPr>
        <w:t>the Federal G</w:t>
      </w:r>
      <w:r w:rsidR="00E47B97" w:rsidRPr="003C2298">
        <w:rPr>
          <w:kern w:val="2"/>
        </w:rPr>
        <w:t>overnment</w:t>
      </w:r>
      <w:r w:rsidR="00540440" w:rsidRPr="003C2298">
        <w:rPr>
          <w:kern w:val="2"/>
        </w:rPr>
        <w:t xml:space="preserve"> </w:t>
      </w:r>
      <w:r w:rsidRPr="003C2298">
        <w:rPr>
          <w:kern w:val="2"/>
        </w:rPr>
        <w:t xml:space="preserve">or a third party, in which case </w:t>
      </w:r>
      <w:r w:rsidR="003B7736">
        <w:rPr>
          <w:kern w:val="2"/>
        </w:rPr>
        <w:t>PCA-HCCN</w:t>
      </w:r>
      <w:r w:rsidR="00540440" w:rsidRPr="003C2298">
        <w:rPr>
          <w:kern w:val="2"/>
        </w:rPr>
        <w:t xml:space="preserve"> will be compensated for the percentage of fair mark</w:t>
      </w:r>
      <w:r w:rsidRPr="003C2298">
        <w:rPr>
          <w:kern w:val="2"/>
        </w:rPr>
        <w:t>et value attributable to</w:t>
      </w:r>
      <w:r w:rsidR="00E47B97" w:rsidRPr="003C2298">
        <w:rPr>
          <w:kern w:val="2"/>
        </w:rPr>
        <w:t xml:space="preserve"> </w:t>
      </w:r>
      <w:r w:rsidR="003B7736">
        <w:rPr>
          <w:kern w:val="2"/>
        </w:rPr>
        <w:t>PCA-HCCN</w:t>
      </w:r>
      <w:r w:rsidR="00540440" w:rsidRPr="003C2298">
        <w:rPr>
          <w:kern w:val="2"/>
        </w:rPr>
        <w:t>.</w:t>
      </w:r>
    </w:p>
    <w:p w:rsidR="00540440" w:rsidRPr="003C2298" w:rsidRDefault="00540440" w:rsidP="00B54B9E">
      <w:pPr>
        <w:jc w:val="both"/>
        <w:rPr>
          <w:kern w:val="2"/>
        </w:rPr>
      </w:pPr>
    </w:p>
    <w:p w:rsidR="00322381" w:rsidRPr="003C2298" w:rsidRDefault="00540440" w:rsidP="00B54B9E">
      <w:pPr>
        <w:tabs>
          <w:tab w:val="left" w:pos="360"/>
        </w:tabs>
        <w:jc w:val="both"/>
        <w:rPr>
          <w:b/>
          <w:bCs/>
          <w:kern w:val="2"/>
        </w:rPr>
      </w:pPr>
      <w:r w:rsidRPr="003C2298">
        <w:rPr>
          <w:b/>
          <w:bCs/>
          <w:kern w:val="2"/>
        </w:rPr>
        <w:t>3.</w:t>
      </w:r>
      <w:r w:rsidR="0074296A" w:rsidRPr="003C2298">
        <w:rPr>
          <w:b/>
          <w:bCs/>
          <w:kern w:val="2"/>
        </w:rPr>
        <w:tab/>
      </w:r>
      <w:r w:rsidRPr="003C2298">
        <w:rPr>
          <w:b/>
          <w:bCs/>
          <w:kern w:val="2"/>
        </w:rPr>
        <w:t xml:space="preserve">Equipment.  </w:t>
      </w:r>
    </w:p>
    <w:p w:rsidR="00322381" w:rsidRPr="003C2298" w:rsidRDefault="00322381" w:rsidP="00B54B9E">
      <w:pPr>
        <w:jc w:val="both"/>
        <w:rPr>
          <w:b/>
          <w:bCs/>
          <w:kern w:val="2"/>
        </w:rPr>
      </w:pPr>
    </w:p>
    <w:p w:rsidR="0082241F" w:rsidRPr="003C2298" w:rsidRDefault="003B7736" w:rsidP="00814147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kern w:val="2"/>
        </w:rPr>
      </w:pPr>
      <w:r>
        <w:rPr>
          <w:kern w:val="2"/>
        </w:rPr>
        <w:t>PCA-HCCN</w:t>
      </w:r>
      <w:r w:rsidR="00540440" w:rsidRPr="003C2298">
        <w:rPr>
          <w:kern w:val="2"/>
        </w:rPr>
        <w:t xml:space="preserve"> will not use equipment acquired with </w:t>
      </w:r>
      <w:r w:rsidR="00CE28DB" w:rsidRPr="003C2298">
        <w:rPr>
          <w:kern w:val="2"/>
        </w:rPr>
        <w:t>f</w:t>
      </w:r>
      <w:r w:rsidR="00591FC5" w:rsidRPr="003C2298">
        <w:rPr>
          <w:kern w:val="2"/>
        </w:rPr>
        <w:t>ederal grant</w:t>
      </w:r>
      <w:r w:rsidR="00540440" w:rsidRPr="003C2298">
        <w:rPr>
          <w:kern w:val="2"/>
        </w:rPr>
        <w:t xml:space="preserve"> funds to provide services to non-</w:t>
      </w:r>
      <w:r w:rsidR="00CE28DB" w:rsidRPr="003C2298">
        <w:rPr>
          <w:kern w:val="2"/>
        </w:rPr>
        <w:t>f</w:t>
      </w:r>
      <w:r w:rsidR="00540440" w:rsidRPr="003C2298">
        <w:rPr>
          <w:kern w:val="2"/>
        </w:rPr>
        <w:t>ederal organizations for a fee less than that charged by private companies</w:t>
      </w:r>
      <w:r w:rsidR="00591FC5" w:rsidRPr="003C2298">
        <w:rPr>
          <w:kern w:val="2"/>
        </w:rPr>
        <w:t>.</w:t>
      </w:r>
      <w:r w:rsidR="00C25E92" w:rsidRPr="003C2298">
        <w:rPr>
          <w:kern w:val="2"/>
        </w:rPr>
        <w:t xml:space="preserve"> </w:t>
      </w:r>
      <w:r>
        <w:rPr>
          <w:kern w:val="2"/>
        </w:rPr>
        <w:t>PCA-HCCN</w:t>
      </w:r>
      <w:r w:rsidR="00540440" w:rsidRPr="003C2298">
        <w:rPr>
          <w:kern w:val="2"/>
        </w:rPr>
        <w:t xml:space="preserve"> will continue to use </w:t>
      </w:r>
      <w:r w:rsidR="00591FC5" w:rsidRPr="003C2298">
        <w:rPr>
          <w:kern w:val="2"/>
        </w:rPr>
        <w:t>such</w:t>
      </w:r>
      <w:r w:rsidR="00540440" w:rsidRPr="003C2298">
        <w:rPr>
          <w:kern w:val="2"/>
        </w:rPr>
        <w:t xml:space="preserve"> equipment for the authorized purpose(s) as long as it is needed</w:t>
      </w:r>
      <w:r w:rsidR="00591FC5" w:rsidRPr="003C2298">
        <w:rPr>
          <w:kern w:val="2"/>
        </w:rPr>
        <w:t>, and shall</w:t>
      </w:r>
      <w:r w:rsidR="00540440" w:rsidRPr="003C2298">
        <w:rPr>
          <w:kern w:val="2"/>
        </w:rPr>
        <w:t xml:space="preserve"> not encumber the equipment without prior approval from </w:t>
      </w:r>
      <w:r w:rsidR="00CE28DB" w:rsidRPr="003C2298">
        <w:rPr>
          <w:kern w:val="2"/>
        </w:rPr>
        <w:t>the appropriate f</w:t>
      </w:r>
      <w:r w:rsidR="00591FC5" w:rsidRPr="003C2298">
        <w:rPr>
          <w:kern w:val="2"/>
        </w:rPr>
        <w:t>ederal grantor agency</w:t>
      </w:r>
      <w:r w:rsidR="00540440" w:rsidRPr="003C2298">
        <w:rPr>
          <w:kern w:val="2"/>
        </w:rPr>
        <w:t>.</w:t>
      </w:r>
    </w:p>
    <w:p w:rsidR="0082241F" w:rsidRPr="003C2298" w:rsidRDefault="0082241F" w:rsidP="00814147">
      <w:pPr>
        <w:tabs>
          <w:tab w:val="left" w:pos="720"/>
        </w:tabs>
        <w:ind w:left="720" w:hanging="360"/>
        <w:jc w:val="both"/>
        <w:rPr>
          <w:kern w:val="2"/>
        </w:rPr>
      </w:pPr>
    </w:p>
    <w:p w:rsidR="0082241F" w:rsidRPr="003C2298" w:rsidRDefault="00540440" w:rsidP="00814147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kern w:val="2"/>
        </w:rPr>
      </w:pPr>
      <w:r w:rsidRPr="003C2298">
        <w:rPr>
          <w:kern w:val="2"/>
        </w:rPr>
        <w:t xml:space="preserve">When </w:t>
      </w:r>
      <w:r w:rsidR="003B7736">
        <w:rPr>
          <w:kern w:val="2"/>
        </w:rPr>
        <w:t>PCA-HCCN</w:t>
      </w:r>
      <w:r w:rsidRPr="003C2298">
        <w:rPr>
          <w:kern w:val="2"/>
        </w:rPr>
        <w:t xml:space="preserve"> no longer needs the equipment for the original project, it </w:t>
      </w:r>
      <w:r w:rsidR="00C25E92" w:rsidRPr="003C2298">
        <w:rPr>
          <w:kern w:val="2"/>
        </w:rPr>
        <w:t xml:space="preserve">may </w:t>
      </w:r>
      <w:r w:rsidRPr="003C2298">
        <w:rPr>
          <w:kern w:val="2"/>
        </w:rPr>
        <w:t xml:space="preserve">use the equipment for other </w:t>
      </w:r>
      <w:r w:rsidR="00CE28DB" w:rsidRPr="003C2298">
        <w:rPr>
          <w:kern w:val="2"/>
        </w:rPr>
        <w:t>f</w:t>
      </w:r>
      <w:r w:rsidRPr="003C2298">
        <w:rPr>
          <w:kern w:val="2"/>
        </w:rPr>
        <w:t xml:space="preserve">ederally-sponsored activities in the priority specified in </w:t>
      </w:r>
      <w:r w:rsidR="000852BF" w:rsidRPr="003C2298">
        <w:rPr>
          <w:kern w:val="2"/>
        </w:rPr>
        <w:t xml:space="preserve">the property standards in 45 </w:t>
      </w:r>
      <w:proofErr w:type="spellStart"/>
      <w:r w:rsidR="000852BF" w:rsidRPr="003C2298">
        <w:rPr>
          <w:kern w:val="2"/>
        </w:rPr>
        <w:t>C.F.R</w:t>
      </w:r>
      <w:proofErr w:type="spellEnd"/>
      <w:r w:rsidR="000852BF" w:rsidRPr="003C2298">
        <w:rPr>
          <w:kern w:val="2"/>
        </w:rPr>
        <w:t>. Part 75</w:t>
      </w:r>
      <w:r w:rsidRPr="003C2298">
        <w:rPr>
          <w:kern w:val="2"/>
        </w:rPr>
        <w:t>.</w:t>
      </w:r>
    </w:p>
    <w:p w:rsidR="0082241F" w:rsidRPr="003C2298" w:rsidRDefault="0082241F" w:rsidP="00814147">
      <w:pPr>
        <w:tabs>
          <w:tab w:val="left" w:pos="720"/>
        </w:tabs>
        <w:ind w:left="720" w:hanging="360"/>
        <w:jc w:val="both"/>
        <w:rPr>
          <w:kern w:val="2"/>
        </w:rPr>
      </w:pPr>
    </w:p>
    <w:p w:rsidR="0082241F" w:rsidRPr="003C2298" w:rsidRDefault="00540440" w:rsidP="00814147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kern w:val="2"/>
        </w:rPr>
      </w:pPr>
      <w:r w:rsidRPr="003C2298">
        <w:rPr>
          <w:kern w:val="2"/>
        </w:rPr>
        <w:t xml:space="preserve">During the time that the equipment is used on the </w:t>
      </w:r>
      <w:r w:rsidR="00CE28DB" w:rsidRPr="003C2298">
        <w:rPr>
          <w:kern w:val="2"/>
        </w:rPr>
        <w:t>f</w:t>
      </w:r>
      <w:r w:rsidR="00591FC5" w:rsidRPr="003C2298">
        <w:rPr>
          <w:kern w:val="2"/>
        </w:rPr>
        <w:t xml:space="preserve">ederally-sponsored </w:t>
      </w:r>
      <w:r w:rsidRPr="003C2298">
        <w:rPr>
          <w:kern w:val="2"/>
        </w:rPr>
        <w:t>project</w:t>
      </w:r>
      <w:r w:rsidR="00591FC5" w:rsidRPr="003C2298">
        <w:rPr>
          <w:kern w:val="2"/>
        </w:rPr>
        <w:t xml:space="preserve"> under which the equipment was purchased</w:t>
      </w:r>
      <w:r w:rsidR="009D0DEB" w:rsidRPr="003C2298">
        <w:rPr>
          <w:kern w:val="2"/>
        </w:rPr>
        <w:t xml:space="preserve">, </w:t>
      </w:r>
      <w:r w:rsidR="003B7736">
        <w:rPr>
          <w:kern w:val="2"/>
        </w:rPr>
        <w:t>PCA-HCCN</w:t>
      </w:r>
      <w:r w:rsidRPr="003C2298">
        <w:rPr>
          <w:kern w:val="2"/>
        </w:rPr>
        <w:t xml:space="preserve"> will make it available for use on other </w:t>
      </w:r>
      <w:r w:rsidR="00757DC2" w:rsidRPr="003C2298">
        <w:rPr>
          <w:kern w:val="2"/>
        </w:rPr>
        <w:t xml:space="preserve">federally-funded </w:t>
      </w:r>
      <w:r w:rsidRPr="003C2298">
        <w:rPr>
          <w:kern w:val="2"/>
        </w:rPr>
        <w:t>projects if such other use does not interfere with the work on the original project.</w:t>
      </w:r>
    </w:p>
    <w:p w:rsidR="0082241F" w:rsidRPr="003C2298" w:rsidRDefault="0082241F" w:rsidP="00814147">
      <w:pPr>
        <w:tabs>
          <w:tab w:val="left" w:pos="720"/>
        </w:tabs>
        <w:ind w:left="720" w:hanging="360"/>
        <w:jc w:val="both"/>
        <w:rPr>
          <w:kern w:val="2"/>
        </w:rPr>
      </w:pPr>
    </w:p>
    <w:p w:rsidR="0082241F" w:rsidRPr="003C2298" w:rsidRDefault="003B7736" w:rsidP="00814147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kern w:val="2"/>
        </w:rPr>
      </w:pPr>
      <w:r>
        <w:rPr>
          <w:kern w:val="2"/>
        </w:rPr>
        <w:t>PCA-HCCN</w:t>
      </w:r>
      <w:r w:rsidR="00540440" w:rsidRPr="003C2298">
        <w:rPr>
          <w:kern w:val="2"/>
        </w:rPr>
        <w:t xml:space="preserve"> may use the equipment as part of a trade-in (or sell the equipment and use the proceeds as an offset) when acquiring replacement equipment.</w:t>
      </w:r>
    </w:p>
    <w:p w:rsidR="0082241F" w:rsidRPr="003C2298" w:rsidRDefault="0082241F" w:rsidP="00814147">
      <w:pPr>
        <w:tabs>
          <w:tab w:val="left" w:pos="720"/>
        </w:tabs>
        <w:ind w:left="720" w:hanging="360"/>
        <w:jc w:val="both"/>
        <w:rPr>
          <w:kern w:val="2"/>
        </w:rPr>
      </w:pPr>
    </w:p>
    <w:p w:rsidR="00540440" w:rsidRPr="003C2298" w:rsidRDefault="00540440" w:rsidP="00814147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kern w:val="2"/>
        </w:rPr>
      </w:pPr>
      <w:r w:rsidRPr="003C2298">
        <w:rPr>
          <w:kern w:val="2"/>
        </w:rPr>
        <w:t>For equipment with a current per unit fair market value of $5</w:t>
      </w:r>
      <w:r w:rsidR="0019420F" w:rsidRPr="003C2298">
        <w:rPr>
          <w:kern w:val="2"/>
        </w:rPr>
        <w:t>,</w:t>
      </w:r>
      <w:r w:rsidRPr="003C2298">
        <w:rPr>
          <w:kern w:val="2"/>
        </w:rPr>
        <w:t>00</w:t>
      </w:r>
      <w:r w:rsidR="00C25E92" w:rsidRPr="003C2298">
        <w:rPr>
          <w:kern w:val="2"/>
        </w:rPr>
        <w:t>0</w:t>
      </w:r>
      <w:r w:rsidRPr="003C2298">
        <w:rPr>
          <w:kern w:val="2"/>
        </w:rPr>
        <w:t xml:space="preserve"> or more</w:t>
      </w:r>
      <w:r w:rsidR="00591FC5" w:rsidRPr="003C2298">
        <w:rPr>
          <w:kern w:val="2"/>
        </w:rPr>
        <w:t>, the following procedures apply</w:t>
      </w:r>
      <w:r w:rsidRPr="003C2298">
        <w:rPr>
          <w:kern w:val="2"/>
        </w:rPr>
        <w:t>:</w:t>
      </w:r>
    </w:p>
    <w:p w:rsidR="00540440" w:rsidRPr="003C2298" w:rsidRDefault="00540440" w:rsidP="00281A90">
      <w:pPr>
        <w:tabs>
          <w:tab w:val="left" w:pos="1080"/>
        </w:tabs>
        <w:ind w:left="1080" w:hanging="720"/>
        <w:jc w:val="both"/>
        <w:rPr>
          <w:kern w:val="2"/>
        </w:rPr>
      </w:pPr>
    </w:p>
    <w:p w:rsidR="009D0DEB" w:rsidRPr="003C2298" w:rsidRDefault="00540440" w:rsidP="00854626">
      <w:pPr>
        <w:numPr>
          <w:ilvl w:val="0"/>
          <w:numId w:val="8"/>
        </w:numPr>
        <w:tabs>
          <w:tab w:val="num" w:pos="1260"/>
        </w:tabs>
        <w:ind w:left="1260"/>
        <w:jc w:val="both"/>
        <w:rPr>
          <w:kern w:val="2"/>
        </w:rPr>
      </w:pPr>
      <w:r w:rsidRPr="003C2298">
        <w:rPr>
          <w:kern w:val="2"/>
        </w:rPr>
        <w:t xml:space="preserve">When </w:t>
      </w:r>
      <w:r w:rsidR="003B7736">
        <w:rPr>
          <w:kern w:val="2"/>
        </w:rPr>
        <w:t>PCA-HCCN</w:t>
      </w:r>
      <w:r w:rsidRPr="003C2298">
        <w:rPr>
          <w:kern w:val="2"/>
        </w:rPr>
        <w:t xml:space="preserve"> no longer needs the equipment, it will request disposition instructions from </w:t>
      </w:r>
      <w:r w:rsidR="00CE28DB" w:rsidRPr="003C2298">
        <w:rPr>
          <w:kern w:val="2"/>
        </w:rPr>
        <w:t>the appropriate f</w:t>
      </w:r>
      <w:r w:rsidR="00591FC5" w:rsidRPr="003C2298">
        <w:rPr>
          <w:kern w:val="2"/>
        </w:rPr>
        <w:t>ederal grantor agency</w:t>
      </w:r>
      <w:r w:rsidRPr="003C2298">
        <w:rPr>
          <w:kern w:val="2"/>
        </w:rPr>
        <w:t>.</w:t>
      </w:r>
    </w:p>
    <w:p w:rsidR="009D0DEB" w:rsidRPr="003C2298" w:rsidRDefault="003B7736" w:rsidP="00854626">
      <w:pPr>
        <w:numPr>
          <w:ilvl w:val="0"/>
          <w:numId w:val="8"/>
        </w:numPr>
        <w:tabs>
          <w:tab w:val="num" w:pos="1260"/>
        </w:tabs>
        <w:ind w:left="1260"/>
        <w:jc w:val="both"/>
        <w:rPr>
          <w:kern w:val="2"/>
        </w:rPr>
      </w:pPr>
      <w:r>
        <w:rPr>
          <w:kern w:val="2"/>
        </w:rPr>
        <w:t>PCA-HCCN</w:t>
      </w:r>
      <w:r w:rsidR="009C51DB" w:rsidRPr="003C2298">
        <w:rPr>
          <w:kern w:val="2"/>
        </w:rPr>
        <w:t xml:space="preserve"> will comply with </w:t>
      </w:r>
      <w:r w:rsidR="00591FC5" w:rsidRPr="003C2298">
        <w:rPr>
          <w:kern w:val="2"/>
        </w:rPr>
        <w:t>grantor agency</w:t>
      </w:r>
      <w:r w:rsidR="00540440" w:rsidRPr="003C2298">
        <w:rPr>
          <w:kern w:val="2"/>
        </w:rPr>
        <w:t xml:space="preserve"> </w:t>
      </w:r>
      <w:r w:rsidR="009C51DB" w:rsidRPr="003C2298">
        <w:rPr>
          <w:kern w:val="2"/>
        </w:rPr>
        <w:t>instructions as to whether</w:t>
      </w:r>
      <w:r w:rsidR="00540440" w:rsidRPr="003C2298">
        <w:rPr>
          <w:kern w:val="2"/>
        </w:rPr>
        <w:t xml:space="preserve">: </w:t>
      </w:r>
    </w:p>
    <w:p w:rsidR="009D0DEB" w:rsidRPr="003C2298" w:rsidRDefault="009D0DEB" w:rsidP="00854626">
      <w:pPr>
        <w:numPr>
          <w:ilvl w:val="1"/>
          <w:numId w:val="8"/>
        </w:numPr>
        <w:tabs>
          <w:tab w:val="num" w:pos="1620"/>
        </w:tabs>
        <w:ind w:left="1620"/>
        <w:jc w:val="both"/>
        <w:rPr>
          <w:kern w:val="2"/>
        </w:rPr>
      </w:pPr>
      <w:r w:rsidRPr="003C2298">
        <w:rPr>
          <w:kern w:val="2"/>
        </w:rPr>
        <w:t>T</w:t>
      </w:r>
      <w:r w:rsidR="00540440" w:rsidRPr="003C2298">
        <w:rPr>
          <w:kern w:val="2"/>
        </w:rPr>
        <w:t xml:space="preserve">o sell the equipment and compensate </w:t>
      </w:r>
      <w:r w:rsidR="00CE28DB" w:rsidRPr="003C2298">
        <w:rPr>
          <w:kern w:val="2"/>
        </w:rPr>
        <w:t>the Federal G</w:t>
      </w:r>
      <w:r w:rsidR="00591FC5" w:rsidRPr="003C2298">
        <w:rPr>
          <w:kern w:val="2"/>
        </w:rPr>
        <w:t>overnment</w:t>
      </w:r>
      <w:r w:rsidR="00540440" w:rsidRPr="003C2298">
        <w:rPr>
          <w:kern w:val="2"/>
        </w:rPr>
        <w:t xml:space="preserve"> for that percentage of the sales proceeds attributable to the “</w:t>
      </w:r>
      <w:r w:rsidR="00F1086D" w:rsidRPr="003C2298">
        <w:rPr>
          <w:kern w:val="2"/>
        </w:rPr>
        <w:t>f</w:t>
      </w:r>
      <w:r w:rsidR="00540440" w:rsidRPr="003C2298">
        <w:rPr>
          <w:kern w:val="2"/>
        </w:rPr>
        <w:t>ederal share”(minus $500 or 10% of the proceed</w:t>
      </w:r>
      <w:r w:rsidRPr="003C2298">
        <w:rPr>
          <w:kern w:val="2"/>
        </w:rPr>
        <w:t>s, whichever is less); or,</w:t>
      </w:r>
    </w:p>
    <w:p w:rsidR="00241D37" w:rsidRPr="003C2298" w:rsidRDefault="009D0DEB" w:rsidP="00854626">
      <w:pPr>
        <w:numPr>
          <w:ilvl w:val="1"/>
          <w:numId w:val="8"/>
        </w:numPr>
        <w:tabs>
          <w:tab w:val="num" w:pos="1620"/>
        </w:tabs>
        <w:ind w:left="1620"/>
        <w:jc w:val="both"/>
        <w:rPr>
          <w:kern w:val="2"/>
        </w:rPr>
      </w:pPr>
      <w:r w:rsidRPr="003C2298">
        <w:rPr>
          <w:kern w:val="2"/>
        </w:rPr>
        <w:t>T</w:t>
      </w:r>
      <w:r w:rsidR="00540440" w:rsidRPr="003C2298">
        <w:rPr>
          <w:kern w:val="2"/>
        </w:rPr>
        <w:t xml:space="preserve">o transfer title to </w:t>
      </w:r>
      <w:r w:rsidR="00CE28DB" w:rsidRPr="003C2298">
        <w:rPr>
          <w:kern w:val="2"/>
        </w:rPr>
        <w:t>the Federal G</w:t>
      </w:r>
      <w:r w:rsidR="008A06BC" w:rsidRPr="003C2298">
        <w:rPr>
          <w:kern w:val="2"/>
        </w:rPr>
        <w:t>overnment</w:t>
      </w:r>
      <w:r w:rsidR="00540440" w:rsidRPr="003C2298">
        <w:rPr>
          <w:kern w:val="2"/>
        </w:rPr>
        <w:t xml:space="preserve"> </w:t>
      </w:r>
      <w:r w:rsidRPr="003C2298">
        <w:rPr>
          <w:kern w:val="2"/>
        </w:rPr>
        <w:t>or a third party, in which case</w:t>
      </w:r>
      <w:r w:rsidR="008A06BC" w:rsidRPr="003C2298">
        <w:rPr>
          <w:kern w:val="2"/>
        </w:rPr>
        <w:t xml:space="preserve"> </w:t>
      </w:r>
      <w:r w:rsidR="003B7736">
        <w:rPr>
          <w:kern w:val="2"/>
        </w:rPr>
        <w:t>PCA-HCCN</w:t>
      </w:r>
      <w:r w:rsidR="00540440" w:rsidRPr="003C2298">
        <w:rPr>
          <w:kern w:val="2"/>
        </w:rPr>
        <w:t xml:space="preserve"> will be </w:t>
      </w:r>
      <w:r w:rsidR="008A06BC" w:rsidRPr="003C2298">
        <w:rPr>
          <w:kern w:val="2"/>
        </w:rPr>
        <w:t>entitled to compensation</w:t>
      </w:r>
      <w:r w:rsidR="00540440" w:rsidRPr="003C2298">
        <w:rPr>
          <w:kern w:val="2"/>
        </w:rPr>
        <w:t xml:space="preserve"> for the percentage of fa</w:t>
      </w:r>
      <w:r w:rsidRPr="003C2298">
        <w:rPr>
          <w:kern w:val="2"/>
        </w:rPr>
        <w:t>ir market value attributable to</w:t>
      </w:r>
      <w:r w:rsidR="008A06BC" w:rsidRPr="003C2298">
        <w:rPr>
          <w:kern w:val="2"/>
        </w:rPr>
        <w:t xml:space="preserve"> </w:t>
      </w:r>
      <w:r w:rsidR="003B7736">
        <w:rPr>
          <w:kern w:val="2"/>
        </w:rPr>
        <w:t>PCA-HCCN</w:t>
      </w:r>
      <w:r w:rsidR="00540440" w:rsidRPr="003C2298">
        <w:rPr>
          <w:kern w:val="2"/>
        </w:rPr>
        <w:t xml:space="preserve"> (plus reasonable shipping/storage costs incurred).</w:t>
      </w:r>
      <w:r w:rsidR="00261ECC" w:rsidRPr="003C2298">
        <w:rPr>
          <w:kern w:val="2"/>
        </w:rPr>
        <w:t xml:space="preserve"> </w:t>
      </w:r>
    </w:p>
    <w:p w:rsidR="00540440" w:rsidRPr="003C2298" w:rsidRDefault="00261ECC" w:rsidP="00854626">
      <w:pPr>
        <w:numPr>
          <w:ilvl w:val="1"/>
          <w:numId w:val="8"/>
        </w:numPr>
        <w:tabs>
          <w:tab w:val="num" w:pos="1620"/>
          <w:tab w:val="num" w:pos="1800"/>
        </w:tabs>
        <w:ind w:left="1620"/>
        <w:jc w:val="both"/>
        <w:rPr>
          <w:kern w:val="2"/>
        </w:rPr>
      </w:pPr>
      <w:r w:rsidRPr="003C2298">
        <w:rPr>
          <w:kern w:val="2"/>
        </w:rPr>
        <w:lastRenderedPageBreak/>
        <w:t xml:space="preserve">If authorized or </w:t>
      </w:r>
      <w:r w:rsidR="00241D37" w:rsidRPr="003C2298">
        <w:rPr>
          <w:kern w:val="2"/>
        </w:rPr>
        <w:t>required to sell the equipment,</w:t>
      </w:r>
      <w:r w:rsidRPr="003C2298">
        <w:rPr>
          <w:kern w:val="2"/>
        </w:rPr>
        <w:t xml:space="preserve"> </w:t>
      </w:r>
      <w:r w:rsidR="003B7736">
        <w:rPr>
          <w:kern w:val="2"/>
        </w:rPr>
        <w:t>PCA-HCCN</w:t>
      </w:r>
      <w:r w:rsidRPr="003C2298">
        <w:rPr>
          <w:kern w:val="2"/>
        </w:rPr>
        <w:t xml:space="preserve"> shall employ procedures that maximize competition and ensure the highest possible return on investment.</w:t>
      </w:r>
    </w:p>
    <w:p w:rsidR="000422A8" w:rsidRPr="003C2298" w:rsidRDefault="00241D37" w:rsidP="003C2298">
      <w:pPr>
        <w:numPr>
          <w:ilvl w:val="0"/>
          <w:numId w:val="8"/>
        </w:numPr>
        <w:tabs>
          <w:tab w:val="num" w:pos="1260"/>
        </w:tabs>
        <w:ind w:left="1260"/>
        <w:jc w:val="both"/>
        <w:rPr>
          <w:kern w:val="2"/>
        </w:rPr>
      </w:pPr>
      <w:r w:rsidRPr="003C2298">
        <w:rPr>
          <w:kern w:val="2"/>
        </w:rPr>
        <w:t>If</w:t>
      </w:r>
      <w:r w:rsidR="000422A8" w:rsidRPr="003C2298">
        <w:rPr>
          <w:kern w:val="2"/>
        </w:rPr>
        <w:t xml:space="preserve"> </w:t>
      </w:r>
      <w:r w:rsidR="003B7736">
        <w:rPr>
          <w:kern w:val="2"/>
        </w:rPr>
        <w:t>PCA-HCCN</w:t>
      </w:r>
      <w:r w:rsidR="000422A8" w:rsidRPr="003C2298">
        <w:rPr>
          <w:kern w:val="2"/>
        </w:rPr>
        <w:t xml:space="preserve"> is </w:t>
      </w:r>
      <w:r w:rsidR="00737080" w:rsidRPr="003C2298">
        <w:rPr>
          <w:kern w:val="2"/>
        </w:rPr>
        <w:t>authorized to retain the subject equipment, it shall compensate the Federal Government</w:t>
      </w:r>
      <w:r w:rsidR="0006108F" w:rsidRPr="003C2298">
        <w:rPr>
          <w:kern w:val="2"/>
        </w:rPr>
        <w:t xml:space="preserve"> for the portion of the fair market value of the property representing the “federal share.”</w:t>
      </w:r>
    </w:p>
    <w:p w:rsidR="00540440" w:rsidRPr="003C2298" w:rsidRDefault="00540440" w:rsidP="00B54B9E">
      <w:pPr>
        <w:jc w:val="both"/>
        <w:rPr>
          <w:kern w:val="2"/>
        </w:rPr>
      </w:pPr>
    </w:p>
    <w:p w:rsidR="00540440" w:rsidRPr="003C2298" w:rsidRDefault="00540440" w:rsidP="00B54B9E">
      <w:pPr>
        <w:tabs>
          <w:tab w:val="left" w:pos="360"/>
        </w:tabs>
        <w:jc w:val="both"/>
        <w:rPr>
          <w:kern w:val="2"/>
        </w:rPr>
      </w:pPr>
      <w:r w:rsidRPr="003C2298">
        <w:rPr>
          <w:b/>
          <w:bCs/>
          <w:kern w:val="2"/>
        </w:rPr>
        <w:t>4.</w:t>
      </w:r>
      <w:r w:rsidR="00B54B9E" w:rsidRPr="003C2298">
        <w:rPr>
          <w:b/>
          <w:bCs/>
          <w:kern w:val="2"/>
        </w:rPr>
        <w:tab/>
      </w:r>
      <w:r w:rsidR="00CD112B" w:rsidRPr="003C2298">
        <w:rPr>
          <w:b/>
          <w:bCs/>
          <w:kern w:val="2"/>
        </w:rPr>
        <w:t>Equipment</w:t>
      </w:r>
      <w:r w:rsidR="00241D37" w:rsidRPr="003C2298">
        <w:rPr>
          <w:b/>
          <w:bCs/>
          <w:kern w:val="2"/>
        </w:rPr>
        <w:t xml:space="preserve"> management p</w:t>
      </w:r>
      <w:r w:rsidRPr="003C2298">
        <w:rPr>
          <w:b/>
          <w:bCs/>
          <w:kern w:val="2"/>
        </w:rPr>
        <w:t>rocedures.</w:t>
      </w:r>
      <w:r w:rsidR="00241D37" w:rsidRPr="003C2298">
        <w:rPr>
          <w:b/>
          <w:bCs/>
          <w:kern w:val="2"/>
        </w:rPr>
        <w:t xml:space="preserve"> </w:t>
      </w:r>
      <w:r w:rsidR="003B7736">
        <w:rPr>
          <w:kern w:val="2"/>
        </w:rPr>
        <w:t>PCA-HCCN</w:t>
      </w:r>
      <w:r w:rsidRPr="003C2298">
        <w:rPr>
          <w:kern w:val="2"/>
        </w:rPr>
        <w:t xml:space="preserve"> will develop and implement property management standards for equipment acquired with </w:t>
      </w:r>
      <w:r w:rsidR="00CE28DB" w:rsidRPr="003C2298">
        <w:rPr>
          <w:kern w:val="2"/>
        </w:rPr>
        <w:t>f</w:t>
      </w:r>
      <w:r w:rsidRPr="003C2298">
        <w:rPr>
          <w:kern w:val="2"/>
        </w:rPr>
        <w:t xml:space="preserve">ederal funds (or </w:t>
      </w:r>
      <w:r w:rsidR="00CE28DB" w:rsidRPr="003C2298">
        <w:rPr>
          <w:kern w:val="2"/>
        </w:rPr>
        <w:t>f</w:t>
      </w:r>
      <w:r w:rsidRPr="003C2298">
        <w:rPr>
          <w:kern w:val="2"/>
        </w:rPr>
        <w:t xml:space="preserve">ederally-owned equipment), including: </w:t>
      </w:r>
    </w:p>
    <w:p w:rsidR="00540440" w:rsidRPr="003C2298" w:rsidRDefault="00540440" w:rsidP="00B54B9E">
      <w:pPr>
        <w:jc w:val="both"/>
        <w:rPr>
          <w:kern w:val="2"/>
        </w:rPr>
      </w:pPr>
    </w:p>
    <w:p w:rsidR="00540440" w:rsidRPr="003C2298" w:rsidRDefault="003D656F" w:rsidP="00B54B9E">
      <w:pPr>
        <w:numPr>
          <w:ilvl w:val="0"/>
          <w:numId w:val="7"/>
        </w:numPr>
        <w:jc w:val="both"/>
        <w:rPr>
          <w:kern w:val="2"/>
        </w:rPr>
      </w:pPr>
      <w:r w:rsidRPr="003C2298">
        <w:rPr>
          <w:kern w:val="2"/>
        </w:rPr>
        <w:t>Maintenance of</w:t>
      </w:r>
      <w:r w:rsidR="00540440" w:rsidRPr="003C2298">
        <w:rPr>
          <w:kern w:val="2"/>
        </w:rPr>
        <w:t xml:space="preserve"> equipment </w:t>
      </w:r>
      <w:r w:rsidRPr="003C2298">
        <w:rPr>
          <w:kern w:val="2"/>
        </w:rPr>
        <w:t>inventories/</w:t>
      </w:r>
      <w:r w:rsidR="00540440" w:rsidRPr="003C2298">
        <w:rPr>
          <w:kern w:val="2"/>
        </w:rPr>
        <w:t>records that include a description of the equipment, the manufacturer’s serial number (or similar means of identification), the source of the eq</w:t>
      </w:r>
      <w:r w:rsidR="003A3A24" w:rsidRPr="003C2298">
        <w:rPr>
          <w:kern w:val="2"/>
        </w:rPr>
        <w:t>uipment, whether title vests in</w:t>
      </w:r>
      <w:r w:rsidRPr="003C2298">
        <w:rPr>
          <w:kern w:val="2"/>
        </w:rPr>
        <w:t xml:space="preserve"> </w:t>
      </w:r>
      <w:r w:rsidR="003B7736">
        <w:rPr>
          <w:kern w:val="2"/>
        </w:rPr>
        <w:t>PCA-HCCN</w:t>
      </w:r>
      <w:r w:rsidR="00540440" w:rsidRPr="003C2298">
        <w:rPr>
          <w:kern w:val="2"/>
        </w:rPr>
        <w:t xml:space="preserve"> or </w:t>
      </w:r>
      <w:r w:rsidR="00964195" w:rsidRPr="003C2298">
        <w:rPr>
          <w:kern w:val="2"/>
        </w:rPr>
        <w:t>the Federal G</w:t>
      </w:r>
      <w:r w:rsidRPr="003C2298">
        <w:rPr>
          <w:kern w:val="2"/>
        </w:rPr>
        <w:t>overnment</w:t>
      </w:r>
      <w:r w:rsidR="00540440" w:rsidRPr="003C2298">
        <w:rPr>
          <w:kern w:val="2"/>
        </w:rPr>
        <w:t xml:space="preserve">, the acquisition date, information to calculate the </w:t>
      </w:r>
      <w:r w:rsidR="00964195" w:rsidRPr="003C2298">
        <w:rPr>
          <w:kern w:val="2"/>
        </w:rPr>
        <w:t>“</w:t>
      </w:r>
      <w:r w:rsidR="00F1086D" w:rsidRPr="003C2298">
        <w:rPr>
          <w:kern w:val="2"/>
        </w:rPr>
        <w:t>f</w:t>
      </w:r>
      <w:r w:rsidR="00540440" w:rsidRPr="003C2298">
        <w:rPr>
          <w:kern w:val="2"/>
        </w:rPr>
        <w:t>ederal share</w:t>
      </w:r>
      <w:r w:rsidR="00964195" w:rsidRPr="003C2298">
        <w:rPr>
          <w:kern w:val="2"/>
        </w:rPr>
        <w:t>”</w:t>
      </w:r>
      <w:r w:rsidR="00540440" w:rsidRPr="003C2298">
        <w:rPr>
          <w:kern w:val="2"/>
        </w:rPr>
        <w:t xml:space="preserve">, location and condition of the equipment, unit cost, and </w:t>
      </w:r>
      <w:r w:rsidR="00C25E92" w:rsidRPr="003C2298">
        <w:rPr>
          <w:kern w:val="2"/>
        </w:rPr>
        <w:t xml:space="preserve">ultimate </w:t>
      </w:r>
      <w:r w:rsidR="00540440" w:rsidRPr="003C2298">
        <w:rPr>
          <w:kern w:val="2"/>
        </w:rPr>
        <w:t>disposition data.</w:t>
      </w:r>
      <w:r w:rsidR="00E76779">
        <w:rPr>
          <w:kern w:val="2"/>
        </w:rPr>
        <w:t xml:space="preserve"> </w:t>
      </w:r>
      <w:r w:rsidR="00BD61FF" w:rsidRPr="003C2298">
        <w:rPr>
          <w:kern w:val="2"/>
        </w:rPr>
        <w:t xml:space="preserve">Such records should be maintained for </w:t>
      </w:r>
      <w:r w:rsidRPr="003C2298">
        <w:rPr>
          <w:kern w:val="2"/>
        </w:rPr>
        <w:t>as long as the property is held/</w:t>
      </w:r>
      <w:r w:rsidR="00BD61FF" w:rsidRPr="003C2298">
        <w:rPr>
          <w:kern w:val="2"/>
        </w:rPr>
        <w:t xml:space="preserve">owned, plus 3 years from its </w:t>
      </w:r>
      <w:r w:rsidR="003A3A24" w:rsidRPr="003C2298">
        <w:rPr>
          <w:kern w:val="2"/>
        </w:rPr>
        <w:t>disposition, in accordance with</w:t>
      </w:r>
      <w:r w:rsidRPr="003C2298">
        <w:rPr>
          <w:kern w:val="2"/>
        </w:rPr>
        <w:t xml:space="preserve"> </w:t>
      </w:r>
      <w:proofErr w:type="spellStart"/>
      <w:r w:rsidR="003B7736">
        <w:rPr>
          <w:kern w:val="2"/>
        </w:rPr>
        <w:t>PCA-HCCN</w:t>
      </w:r>
      <w:r w:rsidR="00BD61FF" w:rsidRPr="003C2298">
        <w:rPr>
          <w:kern w:val="2"/>
        </w:rPr>
        <w:t>’s</w:t>
      </w:r>
      <w:proofErr w:type="spellEnd"/>
      <w:r w:rsidR="00BD61FF" w:rsidRPr="003C2298">
        <w:rPr>
          <w:kern w:val="2"/>
        </w:rPr>
        <w:t xml:space="preserve"> </w:t>
      </w:r>
      <w:r w:rsidR="003A3A24" w:rsidRPr="00D974BE">
        <w:rPr>
          <w:kern w:val="2"/>
        </w:rPr>
        <w:t>Record r</w:t>
      </w:r>
      <w:r w:rsidR="00BD61FF" w:rsidRPr="00D974BE">
        <w:rPr>
          <w:kern w:val="2"/>
        </w:rPr>
        <w:t>etention</w:t>
      </w:r>
      <w:r w:rsidR="00E76779" w:rsidRPr="00D974BE">
        <w:rPr>
          <w:kern w:val="2"/>
        </w:rPr>
        <w:t>: Policy and p</w:t>
      </w:r>
      <w:r w:rsidR="003A3A24" w:rsidRPr="00D974BE">
        <w:rPr>
          <w:kern w:val="2"/>
        </w:rPr>
        <w:t>rocedu</w:t>
      </w:r>
      <w:bookmarkStart w:id="0" w:name="_GoBack"/>
      <w:bookmarkEnd w:id="0"/>
      <w:r w:rsidR="003A3A24" w:rsidRPr="00D974BE">
        <w:rPr>
          <w:kern w:val="2"/>
        </w:rPr>
        <w:t>re</w:t>
      </w:r>
      <w:r w:rsidR="00BD61FF" w:rsidRPr="003C2298">
        <w:rPr>
          <w:kern w:val="2"/>
        </w:rPr>
        <w:t>.</w:t>
      </w:r>
    </w:p>
    <w:p w:rsidR="00540440" w:rsidRPr="003C2298" w:rsidRDefault="00540440" w:rsidP="00B54B9E">
      <w:pPr>
        <w:ind w:left="720"/>
        <w:jc w:val="both"/>
        <w:rPr>
          <w:kern w:val="2"/>
        </w:rPr>
      </w:pPr>
    </w:p>
    <w:p w:rsidR="00540440" w:rsidRPr="003C2298" w:rsidRDefault="003D656F" w:rsidP="00B54B9E">
      <w:pPr>
        <w:numPr>
          <w:ilvl w:val="0"/>
          <w:numId w:val="7"/>
        </w:numPr>
        <w:jc w:val="both"/>
        <w:rPr>
          <w:kern w:val="2"/>
        </w:rPr>
      </w:pPr>
      <w:r w:rsidRPr="003C2298">
        <w:rPr>
          <w:kern w:val="2"/>
        </w:rPr>
        <w:t>Identification of</w:t>
      </w:r>
      <w:r w:rsidR="00540440" w:rsidRPr="003C2298">
        <w:rPr>
          <w:kern w:val="2"/>
        </w:rPr>
        <w:t xml:space="preserve"> equipment owned by </w:t>
      </w:r>
      <w:r w:rsidR="00CE28DB" w:rsidRPr="003C2298">
        <w:rPr>
          <w:kern w:val="2"/>
        </w:rPr>
        <w:t>the appropriate f</w:t>
      </w:r>
      <w:r w:rsidRPr="003C2298">
        <w:rPr>
          <w:kern w:val="2"/>
        </w:rPr>
        <w:t>ederal grantor agency</w:t>
      </w:r>
      <w:r w:rsidR="00540440" w:rsidRPr="003C2298">
        <w:rPr>
          <w:kern w:val="2"/>
        </w:rPr>
        <w:t xml:space="preserve"> </w:t>
      </w:r>
      <w:r w:rsidR="00C25E92" w:rsidRPr="003C2298">
        <w:rPr>
          <w:kern w:val="2"/>
        </w:rPr>
        <w:t xml:space="preserve">to indicate </w:t>
      </w:r>
      <w:r w:rsidR="00964195" w:rsidRPr="003C2298">
        <w:rPr>
          <w:kern w:val="2"/>
        </w:rPr>
        <w:t>f</w:t>
      </w:r>
      <w:r w:rsidR="00C25E92" w:rsidRPr="003C2298">
        <w:rPr>
          <w:kern w:val="2"/>
        </w:rPr>
        <w:t>ederal ownership</w:t>
      </w:r>
      <w:r w:rsidR="00540440" w:rsidRPr="003C2298">
        <w:rPr>
          <w:kern w:val="2"/>
        </w:rPr>
        <w:t>.</w:t>
      </w:r>
    </w:p>
    <w:p w:rsidR="00540440" w:rsidRPr="003C2298" w:rsidRDefault="00540440" w:rsidP="00B54B9E">
      <w:pPr>
        <w:jc w:val="both"/>
        <w:rPr>
          <w:kern w:val="2"/>
        </w:rPr>
      </w:pPr>
    </w:p>
    <w:p w:rsidR="00540440" w:rsidRPr="003C2298" w:rsidRDefault="00540440" w:rsidP="00B54B9E">
      <w:pPr>
        <w:numPr>
          <w:ilvl w:val="0"/>
          <w:numId w:val="7"/>
        </w:numPr>
        <w:jc w:val="both"/>
        <w:rPr>
          <w:kern w:val="2"/>
        </w:rPr>
      </w:pPr>
      <w:r w:rsidRPr="003C2298">
        <w:rPr>
          <w:kern w:val="2"/>
        </w:rPr>
        <w:t xml:space="preserve">At least once every two years, </w:t>
      </w:r>
      <w:r w:rsidR="003D656F" w:rsidRPr="003C2298">
        <w:rPr>
          <w:kern w:val="2"/>
        </w:rPr>
        <w:t>performance of</w:t>
      </w:r>
      <w:r w:rsidR="00C25E92" w:rsidRPr="003C2298">
        <w:rPr>
          <w:kern w:val="2"/>
        </w:rPr>
        <w:t xml:space="preserve"> </w:t>
      </w:r>
      <w:r w:rsidRPr="003C2298">
        <w:rPr>
          <w:kern w:val="2"/>
        </w:rPr>
        <w:t>an inventory of the equipment and reconcili</w:t>
      </w:r>
      <w:r w:rsidR="003D656F" w:rsidRPr="003C2298">
        <w:rPr>
          <w:kern w:val="2"/>
        </w:rPr>
        <w:t>ation</w:t>
      </w:r>
      <w:r w:rsidRPr="003C2298">
        <w:rPr>
          <w:kern w:val="2"/>
        </w:rPr>
        <w:t xml:space="preserve"> </w:t>
      </w:r>
      <w:r w:rsidR="003D656F" w:rsidRPr="003C2298">
        <w:rPr>
          <w:kern w:val="2"/>
        </w:rPr>
        <w:t xml:space="preserve">of </w:t>
      </w:r>
      <w:r w:rsidRPr="003C2298">
        <w:rPr>
          <w:kern w:val="2"/>
        </w:rPr>
        <w:t>the inventory results with the equipment records.</w:t>
      </w:r>
    </w:p>
    <w:p w:rsidR="00540440" w:rsidRPr="003C2298" w:rsidRDefault="00540440" w:rsidP="00B54B9E">
      <w:pPr>
        <w:jc w:val="both"/>
        <w:rPr>
          <w:kern w:val="2"/>
        </w:rPr>
      </w:pPr>
    </w:p>
    <w:p w:rsidR="00540440" w:rsidRPr="003C2298" w:rsidRDefault="003D656F" w:rsidP="00B54B9E">
      <w:pPr>
        <w:numPr>
          <w:ilvl w:val="0"/>
          <w:numId w:val="7"/>
        </w:numPr>
        <w:jc w:val="both"/>
        <w:rPr>
          <w:kern w:val="2"/>
        </w:rPr>
      </w:pPr>
      <w:r w:rsidRPr="003C2298">
        <w:rPr>
          <w:kern w:val="2"/>
        </w:rPr>
        <w:t>Implementation of</w:t>
      </w:r>
      <w:r w:rsidR="00540440" w:rsidRPr="003C2298">
        <w:rPr>
          <w:kern w:val="2"/>
        </w:rPr>
        <w:t xml:space="preserve"> a system to insure adequate safeguards against loss, damage or theft.</w:t>
      </w:r>
    </w:p>
    <w:p w:rsidR="00540440" w:rsidRPr="003C2298" w:rsidRDefault="00540440" w:rsidP="00B54B9E">
      <w:pPr>
        <w:jc w:val="both"/>
        <w:rPr>
          <w:kern w:val="2"/>
        </w:rPr>
      </w:pPr>
    </w:p>
    <w:p w:rsidR="00540440" w:rsidRPr="003C2298" w:rsidRDefault="00261ECC" w:rsidP="00B54B9E">
      <w:pPr>
        <w:numPr>
          <w:ilvl w:val="0"/>
          <w:numId w:val="7"/>
        </w:numPr>
        <w:jc w:val="both"/>
        <w:rPr>
          <w:kern w:val="2"/>
        </w:rPr>
      </w:pPr>
      <w:r w:rsidRPr="003C2298">
        <w:rPr>
          <w:kern w:val="2"/>
        </w:rPr>
        <w:t>Reasonable m</w:t>
      </w:r>
      <w:r w:rsidR="00C25E92" w:rsidRPr="003C2298">
        <w:rPr>
          <w:kern w:val="2"/>
        </w:rPr>
        <w:t>aintenance</w:t>
      </w:r>
      <w:r w:rsidRPr="003C2298">
        <w:rPr>
          <w:kern w:val="2"/>
        </w:rPr>
        <w:t xml:space="preserve"> and upkeep</w:t>
      </w:r>
      <w:r w:rsidR="00C25E92" w:rsidRPr="003C2298">
        <w:rPr>
          <w:kern w:val="2"/>
        </w:rPr>
        <w:t xml:space="preserve"> p</w:t>
      </w:r>
      <w:r w:rsidR="00540440" w:rsidRPr="003C2298">
        <w:rPr>
          <w:kern w:val="2"/>
        </w:rPr>
        <w:t xml:space="preserve">rocedures to ensure </w:t>
      </w:r>
      <w:r w:rsidR="00C25E92" w:rsidRPr="003C2298">
        <w:rPr>
          <w:kern w:val="2"/>
        </w:rPr>
        <w:t xml:space="preserve">good </w:t>
      </w:r>
      <w:r w:rsidR="00540440" w:rsidRPr="003C2298">
        <w:rPr>
          <w:kern w:val="2"/>
        </w:rPr>
        <w:t xml:space="preserve">physical </w:t>
      </w:r>
      <w:r w:rsidR="00C25E92" w:rsidRPr="003C2298">
        <w:rPr>
          <w:kern w:val="2"/>
        </w:rPr>
        <w:t xml:space="preserve">condition </w:t>
      </w:r>
      <w:r w:rsidR="00540440" w:rsidRPr="003C2298">
        <w:rPr>
          <w:kern w:val="2"/>
        </w:rPr>
        <w:t>of the equipment.</w:t>
      </w:r>
    </w:p>
    <w:p w:rsidR="00540440" w:rsidRPr="003C2298" w:rsidRDefault="00540440" w:rsidP="00B54B9E">
      <w:pPr>
        <w:jc w:val="both"/>
        <w:rPr>
          <w:kern w:val="2"/>
        </w:rPr>
      </w:pPr>
    </w:p>
    <w:p w:rsidR="00540440" w:rsidRPr="003C2298" w:rsidRDefault="00540440" w:rsidP="00B54B9E">
      <w:pPr>
        <w:tabs>
          <w:tab w:val="left" w:pos="360"/>
        </w:tabs>
        <w:jc w:val="both"/>
        <w:rPr>
          <w:kern w:val="2"/>
        </w:rPr>
      </w:pPr>
      <w:r w:rsidRPr="003C2298">
        <w:rPr>
          <w:b/>
          <w:bCs/>
          <w:kern w:val="2"/>
        </w:rPr>
        <w:t>5.</w:t>
      </w:r>
      <w:r w:rsidR="00B54B9E" w:rsidRPr="003C2298">
        <w:rPr>
          <w:b/>
          <w:bCs/>
          <w:kern w:val="2"/>
        </w:rPr>
        <w:tab/>
      </w:r>
      <w:r w:rsidRPr="003C2298">
        <w:rPr>
          <w:b/>
          <w:bCs/>
          <w:kern w:val="2"/>
        </w:rPr>
        <w:t>Supplies</w:t>
      </w:r>
      <w:r w:rsidRPr="003C2298">
        <w:rPr>
          <w:kern w:val="2"/>
        </w:rPr>
        <w:t xml:space="preserve">.  Title to supplies </w:t>
      </w:r>
      <w:r w:rsidR="00CE28DB" w:rsidRPr="003C2298">
        <w:rPr>
          <w:kern w:val="2"/>
        </w:rPr>
        <w:t>purchased with f</w:t>
      </w:r>
      <w:r w:rsidR="00261ECC" w:rsidRPr="003C2298">
        <w:rPr>
          <w:kern w:val="2"/>
        </w:rPr>
        <w:t xml:space="preserve">ederal financial assistance </w:t>
      </w:r>
      <w:r w:rsidRPr="003C2298">
        <w:rPr>
          <w:kern w:val="2"/>
        </w:rPr>
        <w:t xml:space="preserve">will </w:t>
      </w:r>
      <w:r w:rsidR="00213A23" w:rsidRPr="003C2298">
        <w:rPr>
          <w:kern w:val="2"/>
        </w:rPr>
        <w:t>vest in</w:t>
      </w:r>
      <w:r w:rsidR="00261ECC" w:rsidRPr="003C2298">
        <w:rPr>
          <w:kern w:val="2"/>
        </w:rPr>
        <w:t xml:space="preserve"> </w:t>
      </w:r>
      <w:r w:rsidR="003B7736">
        <w:rPr>
          <w:kern w:val="2"/>
        </w:rPr>
        <w:t>PCA-HCCN</w:t>
      </w:r>
      <w:r w:rsidRPr="003C2298">
        <w:rPr>
          <w:kern w:val="2"/>
        </w:rPr>
        <w:t xml:space="preserve">. If, upon termination or completion of the authorized project, there is a residual of unused supplies </w:t>
      </w:r>
      <w:r w:rsidR="000E42DB" w:rsidRPr="003C2298">
        <w:rPr>
          <w:kern w:val="2"/>
        </w:rPr>
        <w:t>the total value of which exceeds</w:t>
      </w:r>
      <w:r w:rsidRPr="003C2298">
        <w:rPr>
          <w:kern w:val="2"/>
        </w:rPr>
        <w:t xml:space="preserve"> $5</w:t>
      </w:r>
      <w:r w:rsidR="0019420F" w:rsidRPr="003C2298">
        <w:rPr>
          <w:kern w:val="2"/>
        </w:rPr>
        <w:t>,</w:t>
      </w:r>
      <w:r w:rsidRPr="003C2298">
        <w:rPr>
          <w:kern w:val="2"/>
        </w:rPr>
        <w:t xml:space="preserve">000 </w:t>
      </w:r>
      <w:r w:rsidR="000E42DB" w:rsidRPr="003C2298">
        <w:rPr>
          <w:kern w:val="2"/>
        </w:rPr>
        <w:t xml:space="preserve">and that </w:t>
      </w:r>
      <w:r w:rsidR="00213A23" w:rsidRPr="003C2298">
        <w:rPr>
          <w:kern w:val="2"/>
        </w:rPr>
        <w:t>are not needed by</w:t>
      </w:r>
      <w:r w:rsidR="007F00CF" w:rsidRPr="003C2298">
        <w:rPr>
          <w:kern w:val="2"/>
        </w:rPr>
        <w:t xml:space="preserve"> </w:t>
      </w:r>
      <w:r w:rsidR="003B7736">
        <w:rPr>
          <w:kern w:val="2"/>
        </w:rPr>
        <w:t>PCA-HCCN</w:t>
      </w:r>
      <w:r w:rsidRPr="003C2298">
        <w:rPr>
          <w:kern w:val="2"/>
        </w:rPr>
        <w:t xml:space="preserve"> for any other </w:t>
      </w:r>
      <w:r w:rsidR="00964195" w:rsidRPr="003C2298">
        <w:rPr>
          <w:kern w:val="2"/>
        </w:rPr>
        <w:t>f</w:t>
      </w:r>
      <w:r w:rsidRPr="003C2298">
        <w:rPr>
          <w:kern w:val="2"/>
        </w:rPr>
        <w:t xml:space="preserve">ederally-sponsored program, </w:t>
      </w:r>
      <w:r w:rsidR="007F00CF" w:rsidRPr="003C2298">
        <w:rPr>
          <w:kern w:val="2"/>
        </w:rPr>
        <w:t>it</w:t>
      </w:r>
      <w:r w:rsidRPr="003C2298">
        <w:rPr>
          <w:kern w:val="2"/>
        </w:rPr>
        <w:t xml:space="preserve"> will either retain or sell the supplies and will compensate </w:t>
      </w:r>
      <w:r w:rsidR="00CE28DB" w:rsidRPr="003C2298">
        <w:rPr>
          <w:kern w:val="2"/>
        </w:rPr>
        <w:t>the Federal G</w:t>
      </w:r>
      <w:r w:rsidR="007F00CF" w:rsidRPr="003C2298">
        <w:rPr>
          <w:kern w:val="2"/>
        </w:rPr>
        <w:t>overnment</w:t>
      </w:r>
      <w:r w:rsidRPr="003C2298">
        <w:rPr>
          <w:kern w:val="2"/>
        </w:rPr>
        <w:t xml:space="preserve"> for its “</w:t>
      </w:r>
      <w:r w:rsidR="00F1086D" w:rsidRPr="003C2298">
        <w:rPr>
          <w:kern w:val="2"/>
        </w:rPr>
        <w:t>f</w:t>
      </w:r>
      <w:r w:rsidR="007F00CF" w:rsidRPr="003C2298">
        <w:rPr>
          <w:kern w:val="2"/>
        </w:rPr>
        <w:t>ederal share.</w:t>
      </w:r>
      <w:r w:rsidRPr="003C2298">
        <w:rPr>
          <w:kern w:val="2"/>
        </w:rPr>
        <w:t>”</w:t>
      </w:r>
    </w:p>
    <w:p w:rsidR="00540440" w:rsidRPr="003C2298" w:rsidRDefault="00540440" w:rsidP="00B54B9E">
      <w:pPr>
        <w:jc w:val="both"/>
        <w:rPr>
          <w:kern w:val="2"/>
        </w:rPr>
      </w:pPr>
    </w:p>
    <w:p w:rsidR="00540440" w:rsidRPr="003C2298" w:rsidRDefault="00213A23" w:rsidP="00B54B9E">
      <w:pPr>
        <w:tabs>
          <w:tab w:val="left" w:pos="360"/>
        </w:tabs>
        <w:jc w:val="both"/>
        <w:rPr>
          <w:kern w:val="2"/>
        </w:rPr>
      </w:pPr>
      <w:r w:rsidRPr="003C2298">
        <w:rPr>
          <w:b/>
          <w:bCs/>
          <w:kern w:val="2"/>
        </w:rPr>
        <w:t>6.</w:t>
      </w:r>
      <w:r w:rsidR="00B54B9E" w:rsidRPr="003C2298">
        <w:rPr>
          <w:b/>
          <w:bCs/>
          <w:kern w:val="2"/>
        </w:rPr>
        <w:tab/>
      </w:r>
      <w:r w:rsidRPr="003C2298">
        <w:rPr>
          <w:b/>
          <w:bCs/>
          <w:kern w:val="2"/>
        </w:rPr>
        <w:t>Intangible p</w:t>
      </w:r>
      <w:r w:rsidR="00540440" w:rsidRPr="003C2298">
        <w:rPr>
          <w:b/>
          <w:bCs/>
          <w:kern w:val="2"/>
        </w:rPr>
        <w:t>roperty.</w:t>
      </w:r>
      <w:r w:rsidR="00540440" w:rsidRPr="003C2298">
        <w:rPr>
          <w:kern w:val="2"/>
        </w:rPr>
        <w:t xml:space="preserve">  </w:t>
      </w:r>
      <w:r w:rsidR="003B7736">
        <w:rPr>
          <w:kern w:val="2"/>
        </w:rPr>
        <w:t>PCA-HCCN</w:t>
      </w:r>
      <w:r w:rsidR="00540440" w:rsidRPr="003C2298">
        <w:rPr>
          <w:kern w:val="2"/>
        </w:rPr>
        <w:t xml:space="preserve"> may copyright any work developed </w:t>
      </w:r>
      <w:r w:rsidR="00C542F2" w:rsidRPr="003C2298">
        <w:rPr>
          <w:kern w:val="2"/>
        </w:rPr>
        <w:t xml:space="preserve">or for which ownership was purchased </w:t>
      </w:r>
      <w:r w:rsidR="00E76779">
        <w:rPr>
          <w:kern w:val="2"/>
        </w:rPr>
        <w:t xml:space="preserve">under the grant. </w:t>
      </w:r>
      <w:r w:rsidR="00CE28DB" w:rsidRPr="003C2298">
        <w:rPr>
          <w:kern w:val="2"/>
        </w:rPr>
        <w:t>The Federal G</w:t>
      </w:r>
      <w:r w:rsidR="00724CAC" w:rsidRPr="003C2298">
        <w:rPr>
          <w:kern w:val="2"/>
        </w:rPr>
        <w:t>overnment</w:t>
      </w:r>
      <w:r w:rsidR="00540440" w:rsidRPr="003C2298">
        <w:rPr>
          <w:kern w:val="2"/>
        </w:rPr>
        <w:t xml:space="preserve"> retains a royalty-free, nonexclusive and irrevocable right to reproduce, publish or otherwise use the work for </w:t>
      </w:r>
      <w:r w:rsidR="00CE28DB" w:rsidRPr="003C2298">
        <w:rPr>
          <w:kern w:val="2"/>
        </w:rPr>
        <w:t>f</w:t>
      </w:r>
      <w:r w:rsidR="00540440" w:rsidRPr="003C2298">
        <w:rPr>
          <w:kern w:val="2"/>
        </w:rPr>
        <w:t>ederal purposes and to authorize others to do so.</w:t>
      </w:r>
    </w:p>
    <w:p w:rsidR="00213A23" w:rsidRPr="003C2298" w:rsidRDefault="00213A23" w:rsidP="00B54B9E">
      <w:pPr>
        <w:pStyle w:val="Footer"/>
        <w:tabs>
          <w:tab w:val="clear" w:pos="4320"/>
          <w:tab w:val="clear" w:pos="8640"/>
        </w:tabs>
        <w:jc w:val="both"/>
        <w:rPr>
          <w:b/>
          <w:kern w:val="2"/>
          <w:u w:val="single"/>
        </w:rPr>
      </w:pPr>
    </w:p>
    <w:p w:rsidR="00213A23" w:rsidRPr="003C2298" w:rsidRDefault="00213A23" w:rsidP="003C2298">
      <w:pPr>
        <w:keepLines/>
        <w:jc w:val="both"/>
        <w:rPr>
          <w:b/>
          <w:kern w:val="2"/>
        </w:rPr>
      </w:pPr>
      <w:r w:rsidRPr="003C2298">
        <w:rPr>
          <w:b/>
          <w:kern w:val="2"/>
        </w:rPr>
        <w:lastRenderedPageBreak/>
        <w:t xml:space="preserve">This policy and procedure shall be periodically reviewed and updated consistent with the requirements and standards established by the Board of Directors and </w:t>
      </w:r>
      <w:r w:rsidR="003B7736">
        <w:rPr>
          <w:b/>
          <w:kern w:val="2"/>
        </w:rPr>
        <w:t>PCA-HCCN</w:t>
      </w:r>
      <w:r w:rsidRPr="003C2298">
        <w:rPr>
          <w:b/>
          <w:kern w:val="2"/>
        </w:rPr>
        <w:t xml:space="preserve"> management, federal and</w:t>
      </w:r>
      <w:r w:rsidR="009B0CBF">
        <w:rPr>
          <w:b/>
          <w:kern w:val="2"/>
        </w:rPr>
        <w:t xml:space="preserve"> state laws and regulations,</w:t>
      </w:r>
      <w:r w:rsidRPr="003C2298">
        <w:rPr>
          <w:b/>
          <w:kern w:val="2"/>
        </w:rPr>
        <w:t xml:space="preserve"> applicable accrediting and review organizations.</w:t>
      </w:r>
    </w:p>
    <w:p w:rsidR="00213A23" w:rsidRPr="003C2298" w:rsidRDefault="00213A23" w:rsidP="00B54B9E">
      <w:pPr>
        <w:jc w:val="both"/>
        <w:rPr>
          <w:kern w:val="2"/>
        </w:rPr>
      </w:pPr>
    </w:p>
    <w:p w:rsidR="00213A23" w:rsidRPr="003C2298" w:rsidRDefault="00213A23" w:rsidP="00B54B9E">
      <w:pPr>
        <w:jc w:val="both"/>
        <w:rPr>
          <w:b/>
          <w:kern w:val="2"/>
        </w:rPr>
      </w:pPr>
      <w:r w:rsidRPr="003C2298">
        <w:rPr>
          <w:b/>
          <w:kern w:val="2"/>
        </w:rPr>
        <w:t>Responsible parties:</w:t>
      </w:r>
    </w:p>
    <w:p w:rsidR="00213A23" w:rsidRPr="003C2298" w:rsidRDefault="00213A23" w:rsidP="00B54B9E">
      <w:pPr>
        <w:jc w:val="both"/>
        <w:rPr>
          <w:b/>
          <w:kern w:val="2"/>
        </w:rPr>
      </w:pPr>
    </w:p>
    <w:p w:rsidR="00213A23" w:rsidRPr="003C2298" w:rsidRDefault="00213A23" w:rsidP="00B54B9E">
      <w:pPr>
        <w:pStyle w:val="Heading3"/>
        <w:rPr>
          <w:b/>
          <w:kern w:val="2"/>
          <w:szCs w:val="24"/>
        </w:rPr>
      </w:pPr>
      <w:r w:rsidRPr="003C2298">
        <w:rPr>
          <w:kern w:val="2"/>
          <w:szCs w:val="24"/>
        </w:rPr>
        <w:t>Signature</w:t>
      </w:r>
      <w:r w:rsidRPr="003C2298">
        <w:rPr>
          <w:kern w:val="2"/>
          <w:szCs w:val="24"/>
        </w:rPr>
        <w:tab/>
      </w:r>
      <w:r w:rsidRPr="003C2298">
        <w:rPr>
          <w:kern w:val="2"/>
          <w:szCs w:val="24"/>
        </w:rPr>
        <w:tab/>
      </w:r>
      <w:r w:rsidRPr="003C2298">
        <w:rPr>
          <w:kern w:val="2"/>
          <w:szCs w:val="24"/>
        </w:rPr>
        <w:tab/>
      </w:r>
      <w:r w:rsidRPr="003C2298">
        <w:rPr>
          <w:kern w:val="2"/>
          <w:szCs w:val="24"/>
        </w:rPr>
        <w:tab/>
      </w:r>
      <w:r w:rsidRPr="003C2298">
        <w:rPr>
          <w:kern w:val="2"/>
          <w:szCs w:val="24"/>
        </w:rPr>
        <w:tab/>
      </w:r>
      <w:r w:rsidRPr="003C2298">
        <w:rPr>
          <w:kern w:val="2"/>
          <w:szCs w:val="24"/>
        </w:rPr>
        <w:tab/>
      </w:r>
      <w:r w:rsidRPr="003C2298">
        <w:rPr>
          <w:kern w:val="2"/>
          <w:szCs w:val="24"/>
        </w:rPr>
        <w:tab/>
      </w:r>
      <w:r w:rsidRPr="003C2298">
        <w:rPr>
          <w:kern w:val="2"/>
          <w:szCs w:val="24"/>
        </w:rPr>
        <w:tab/>
        <w:t>Date</w:t>
      </w:r>
      <w:r w:rsidRPr="003C2298">
        <w:rPr>
          <w:kern w:val="2"/>
          <w:szCs w:val="24"/>
        </w:rPr>
        <w:tab/>
      </w:r>
      <w:r w:rsidRPr="003C2298">
        <w:rPr>
          <w:kern w:val="2"/>
          <w:szCs w:val="24"/>
        </w:rPr>
        <w:tab/>
      </w:r>
      <w:r w:rsidRPr="003C2298">
        <w:rPr>
          <w:kern w:val="2"/>
          <w:szCs w:val="24"/>
        </w:rPr>
        <w:tab/>
      </w:r>
      <w:r w:rsidRPr="003C2298">
        <w:rPr>
          <w:kern w:val="2"/>
          <w:szCs w:val="24"/>
        </w:rPr>
        <w:tab/>
      </w:r>
    </w:p>
    <w:p w:rsidR="00213A23" w:rsidRPr="003C2298" w:rsidRDefault="00213A23" w:rsidP="00B54B9E">
      <w:pPr>
        <w:pStyle w:val="Heading3"/>
        <w:rPr>
          <w:kern w:val="2"/>
          <w:szCs w:val="24"/>
          <w:u w:val="none"/>
        </w:rPr>
      </w:pPr>
      <w:r w:rsidRPr="003C2298">
        <w:rPr>
          <w:kern w:val="2"/>
          <w:szCs w:val="24"/>
          <w:u w:val="none"/>
        </w:rPr>
        <w:t>Executive Director</w:t>
      </w:r>
    </w:p>
    <w:p w:rsidR="00213A23" w:rsidRPr="003C2298" w:rsidRDefault="00213A23" w:rsidP="00B54B9E">
      <w:pPr>
        <w:jc w:val="both"/>
        <w:rPr>
          <w:kern w:val="2"/>
        </w:rPr>
      </w:pPr>
    </w:p>
    <w:p w:rsidR="00213A23" w:rsidRPr="003C2298" w:rsidRDefault="00213A23" w:rsidP="00B54B9E">
      <w:pPr>
        <w:pStyle w:val="3"/>
        <w:rPr>
          <w:bCs/>
          <w:kern w:val="2"/>
          <w:szCs w:val="24"/>
        </w:rPr>
      </w:pPr>
      <w:r w:rsidRPr="003C2298">
        <w:rPr>
          <w:kern w:val="2"/>
          <w:szCs w:val="24"/>
          <w:u w:val="single"/>
        </w:rPr>
        <w:t>Signature</w:t>
      </w:r>
      <w:r w:rsidRPr="003C2298">
        <w:rPr>
          <w:kern w:val="2"/>
          <w:szCs w:val="24"/>
          <w:u w:val="single"/>
        </w:rPr>
        <w:tab/>
      </w:r>
      <w:r w:rsidRPr="003C2298">
        <w:rPr>
          <w:kern w:val="2"/>
          <w:szCs w:val="24"/>
          <w:u w:val="single"/>
        </w:rPr>
        <w:tab/>
      </w:r>
      <w:r w:rsidRPr="003C2298">
        <w:rPr>
          <w:kern w:val="2"/>
          <w:szCs w:val="24"/>
          <w:u w:val="single"/>
        </w:rPr>
        <w:tab/>
      </w:r>
      <w:r w:rsidRPr="003C2298">
        <w:rPr>
          <w:kern w:val="2"/>
          <w:szCs w:val="24"/>
          <w:u w:val="single"/>
        </w:rPr>
        <w:tab/>
      </w:r>
      <w:r w:rsidRPr="003C2298">
        <w:rPr>
          <w:kern w:val="2"/>
          <w:szCs w:val="24"/>
          <w:u w:val="single"/>
        </w:rPr>
        <w:tab/>
      </w:r>
      <w:r w:rsidRPr="003C2298">
        <w:rPr>
          <w:kern w:val="2"/>
          <w:szCs w:val="24"/>
          <w:u w:val="single"/>
        </w:rPr>
        <w:tab/>
      </w:r>
      <w:r w:rsidRPr="003C2298">
        <w:rPr>
          <w:kern w:val="2"/>
          <w:szCs w:val="24"/>
          <w:u w:val="single"/>
        </w:rPr>
        <w:tab/>
      </w:r>
      <w:r w:rsidRPr="003C2298">
        <w:rPr>
          <w:kern w:val="2"/>
          <w:szCs w:val="24"/>
          <w:u w:val="single"/>
        </w:rPr>
        <w:tab/>
        <w:t>Date</w:t>
      </w:r>
      <w:r w:rsidRPr="003C2298">
        <w:rPr>
          <w:kern w:val="2"/>
          <w:szCs w:val="24"/>
          <w:u w:val="single"/>
        </w:rPr>
        <w:tab/>
      </w:r>
      <w:r w:rsidRPr="003C2298">
        <w:rPr>
          <w:kern w:val="2"/>
          <w:szCs w:val="24"/>
          <w:u w:val="single"/>
        </w:rPr>
        <w:tab/>
      </w:r>
      <w:r w:rsidRPr="003C2298">
        <w:rPr>
          <w:kern w:val="2"/>
          <w:szCs w:val="24"/>
          <w:u w:val="single"/>
        </w:rPr>
        <w:tab/>
      </w:r>
      <w:r w:rsidRPr="003C2298">
        <w:rPr>
          <w:kern w:val="2"/>
          <w:szCs w:val="24"/>
          <w:u w:val="single"/>
        </w:rPr>
        <w:tab/>
      </w:r>
    </w:p>
    <w:p w:rsidR="00213A23" w:rsidRPr="003C2298" w:rsidRDefault="00213A23" w:rsidP="00B54B9E">
      <w:pPr>
        <w:jc w:val="both"/>
        <w:rPr>
          <w:kern w:val="2"/>
        </w:rPr>
      </w:pPr>
    </w:p>
    <w:p w:rsidR="008E62BA" w:rsidRPr="003C2298" w:rsidRDefault="00213A23" w:rsidP="00B54B9E">
      <w:pPr>
        <w:pStyle w:val="Footer"/>
        <w:tabs>
          <w:tab w:val="clear" w:pos="4320"/>
          <w:tab w:val="clear" w:pos="8640"/>
        </w:tabs>
        <w:jc w:val="both"/>
        <w:rPr>
          <w:kern w:val="2"/>
        </w:rPr>
      </w:pPr>
      <w:r w:rsidRPr="003C2298">
        <w:rPr>
          <w:kern w:val="2"/>
        </w:rPr>
        <w:t xml:space="preserve"> </w:t>
      </w:r>
    </w:p>
    <w:p w:rsidR="00540440" w:rsidRPr="003C2298" w:rsidRDefault="00540440" w:rsidP="00B54B9E">
      <w:pPr>
        <w:jc w:val="both"/>
        <w:rPr>
          <w:kern w:val="2"/>
        </w:rPr>
      </w:pPr>
    </w:p>
    <w:p w:rsidR="003C2298" w:rsidRPr="003C2298" w:rsidRDefault="003C2298">
      <w:pPr>
        <w:jc w:val="both"/>
        <w:rPr>
          <w:kern w:val="2"/>
        </w:rPr>
      </w:pPr>
    </w:p>
    <w:sectPr w:rsidR="003C2298" w:rsidRPr="003C2298" w:rsidSect="00D82256">
      <w:headerReference w:type="even" r:id="rId9"/>
      <w:headerReference w:type="default" r:id="rId10"/>
      <w:footerReference w:type="default" r:id="rId11"/>
      <w:pgSz w:w="12240" w:h="15840" w:code="1"/>
      <w:pgMar w:top="1440" w:right="1440" w:bottom="1440" w:left="1440" w:header="720" w:footer="51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A6" w:rsidRDefault="008054A6">
      <w:r>
        <w:separator/>
      </w:r>
    </w:p>
  </w:endnote>
  <w:endnote w:type="continuationSeparator" w:id="0">
    <w:p w:rsidR="008054A6" w:rsidRDefault="0080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DD" w:rsidRPr="006B59DD" w:rsidRDefault="006B59DD" w:rsidP="006B59DD">
    <w:pPr>
      <w:pBdr>
        <w:bottom w:val="single" w:sz="12" w:space="0" w:color="auto"/>
      </w:pBdr>
      <w:rPr>
        <w:rFonts w:eastAsia="Calibri"/>
        <w:bCs/>
        <w:sz w:val="20"/>
        <w:szCs w:val="20"/>
      </w:rPr>
    </w:pPr>
  </w:p>
  <w:p w:rsidR="006B59DD" w:rsidRPr="006B59DD" w:rsidRDefault="006B59DD" w:rsidP="006B59DD">
    <w:pPr>
      <w:tabs>
        <w:tab w:val="left" w:pos="2340"/>
      </w:tabs>
      <w:jc w:val="center"/>
      <w:rPr>
        <w:rFonts w:eastAsia="Calibri"/>
        <w:bCs/>
        <w:sz w:val="20"/>
        <w:szCs w:val="20"/>
      </w:rPr>
    </w:pPr>
  </w:p>
  <w:p w:rsidR="006B59DD" w:rsidRPr="006B59DD" w:rsidRDefault="00017C05" w:rsidP="006B59DD">
    <w:pPr>
      <w:tabs>
        <w:tab w:val="left" w:pos="2340"/>
      </w:tabs>
      <w:jc w:val="center"/>
      <w:rPr>
        <w:rFonts w:eastAsia="Calibri"/>
        <w:bCs/>
        <w:sz w:val="20"/>
        <w:szCs w:val="20"/>
      </w:rPr>
    </w:pPr>
    <w:r>
      <w:rPr>
        <w:rFonts w:eastAsia="Calibri"/>
        <w:sz w:val="20"/>
        <w:szCs w:val="20"/>
      </w:rPr>
      <w:t xml:space="preserve">The </w:t>
    </w:r>
    <w:r w:rsidR="00B631B0">
      <w:rPr>
        <w:rFonts w:eastAsia="Calibri"/>
        <w:sz w:val="20"/>
        <w:szCs w:val="20"/>
      </w:rPr>
      <w:t xml:space="preserve">Corporate </w:t>
    </w:r>
    <w:r w:rsidR="006B59DD" w:rsidRPr="006B59DD">
      <w:rPr>
        <w:rFonts w:eastAsia="Calibri"/>
        <w:sz w:val="20"/>
        <w:szCs w:val="20"/>
      </w:rPr>
      <w:t>Compliance Toolkit</w:t>
    </w:r>
    <w:r w:rsidR="003B7736">
      <w:rPr>
        <w:rFonts w:eastAsia="Calibri"/>
        <w:sz w:val="20"/>
        <w:szCs w:val="20"/>
      </w:rPr>
      <w:t xml:space="preserve"> for </w:t>
    </w:r>
    <w:proofErr w:type="spellStart"/>
    <w:r w:rsidR="003B7736">
      <w:rPr>
        <w:rFonts w:eastAsia="Calibri"/>
        <w:sz w:val="20"/>
        <w:szCs w:val="20"/>
      </w:rPr>
      <w:t>PCAs-HCCN</w:t>
    </w:r>
    <w:r w:rsidR="00B631B0">
      <w:rPr>
        <w:rFonts w:eastAsia="Calibri"/>
        <w:sz w:val="20"/>
        <w:szCs w:val="20"/>
      </w:rPr>
      <w:t>s</w:t>
    </w:r>
    <w:proofErr w:type="spellEnd"/>
  </w:p>
  <w:p w:rsidR="006B59DD" w:rsidRPr="006B59DD" w:rsidRDefault="00503B51" w:rsidP="006B59DD">
    <w:pPr>
      <w:tabs>
        <w:tab w:val="left" w:pos="2340"/>
      </w:tabs>
      <w:jc w:val="center"/>
      <w:rPr>
        <w:rFonts w:eastAsia="Calibri"/>
        <w:bCs/>
        <w:sz w:val="20"/>
        <w:szCs w:val="20"/>
        <w:lang w:val="de-DE"/>
      </w:rPr>
    </w:pPr>
    <w:r>
      <w:rPr>
        <w:rFonts w:eastAsia="Calibri"/>
        <w:sz w:val="20"/>
        <w:szCs w:val="20"/>
        <w:lang w:val="de-DE"/>
      </w:rPr>
      <w:t>© 2015</w:t>
    </w:r>
    <w:r w:rsidR="006B59DD" w:rsidRPr="006B59DD">
      <w:rPr>
        <w:rFonts w:eastAsia="Calibri"/>
        <w:sz w:val="20"/>
        <w:szCs w:val="20"/>
        <w:lang w:val="de-DE"/>
      </w:rPr>
      <w:t xml:space="preserve"> </w:t>
    </w:r>
    <w:r w:rsidR="006B59DD" w:rsidRPr="006B59DD">
      <w:rPr>
        <w:rFonts w:eastAsia="Calibri"/>
        <w:sz w:val="20"/>
        <w:szCs w:val="20"/>
      </w:rPr>
      <w:t>National Association of Community Health Centers, Inc.</w:t>
    </w:r>
  </w:p>
  <w:p w:rsidR="006B59DD" w:rsidRPr="006B59DD" w:rsidRDefault="006B59DD" w:rsidP="006B59DD">
    <w:pPr>
      <w:tabs>
        <w:tab w:val="left" w:pos="2340"/>
      </w:tabs>
      <w:jc w:val="center"/>
      <w:rPr>
        <w:rFonts w:eastAsia="Calibri"/>
        <w:bCs/>
        <w:sz w:val="20"/>
        <w:szCs w:val="20"/>
        <w:lang w:val="de-DE"/>
      </w:rPr>
    </w:pPr>
    <w:r w:rsidRPr="006B59DD">
      <w:rPr>
        <w:rFonts w:eastAsia="Calibri"/>
        <w:sz w:val="20"/>
        <w:szCs w:val="20"/>
        <w:lang w:val="de-DE"/>
      </w:rPr>
      <w:t>and Feldesman Tucker Leifer Fidell LLP</w:t>
    </w:r>
  </w:p>
  <w:p w:rsidR="006B59DD" w:rsidRPr="006B59DD" w:rsidRDefault="006B59DD" w:rsidP="006B59DD">
    <w:pPr>
      <w:tabs>
        <w:tab w:val="left" w:pos="2340"/>
      </w:tabs>
      <w:jc w:val="center"/>
      <w:rPr>
        <w:rFonts w:eastAsia="Calibri"/>
        <w:bCs/>
        <w:sz w:val="20"/>
        <w:szCs w:val="20"/>
      </w:rPr>
    </w:pPr>
  </w:p>
  <w:p w:rsidR="00E96031" w:rsidRPr="006B59DD" w:rsidRDefault="006B59DD" w:rsidP="006B59DD">
    <w:pPr>
      <w:tabs>
        <w:tab w:val="left" w:pos="2340"/>
      </w:tabs>
      <w:jc w:val="center"/>
      <w:rPr>
        <w:rFonts w:eastAsia="Calibri"/>
        <w:sz w:val="20"/>
        <w:szCs w:val="20"/>
        <w:lang w:val="de-DE"/>
      </w:rPr>
    </w:pPr>
    <w:r w:rsidRPr="006B59DD">
      <w:rPr>
        <w:rFonts w:eastAsia="Calibri"/>
        <w:bCs/>
        <w:sz w:val="20"/>
        <w:szCs w:val="20"/>
      </w:rPr>
      <w:fldChar w:fldCharType="begin"/>
    </w:r>
    <w:r w:rsidRPr="006B59DD">
      <w:rPr>
        <w:rFonts w:eastAsia="Calibri"/>
        <w:sz w:val="20"/>
        <w:szCs w:val="20"/>
      </w:rPr>
      <w:instrText xml:space="preserve"> PAGE </w:instrText>
    </w:r>
    <w:r w:rsidRPr="006B59DD">
      <w:rPr>
        <w:rFonts w:eastAsia="Calibri"/>
        <w:bCs/>
        <w:sz w:val="20"/>
        <w:szCs w:val="20"/>
      </w:rPr>
      <w:fldChar w:fldCharType="separate"/>
    </w:r>
    <w:r w:rsidR="00D974BE">
      <w:rPr>
        <w:rFonts w:eastAsia="Calibri"/>
        <w:noProof/>
        <w:sz w:val="20"/>
        <w:szCs w:val="20"/>
      </w:rPr>
      <w:t>4</w:t>
    </w:r>
    <w:r w:rsidRPr="006B59DD">
      <w:rPr>
        <w:rFonts w:eastAsia="Calibri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A6" w:rsidRPr="00950D83" w:rsidRDefault="008054A6" w:rsidP="00950D83">
      <w:pPr>
        <w:pStyle w:val="Title"/>
        <w:jc w:val="left"/>
        <w:rPr>
          <w:rFonts w:ascii="Times New Roman" w:hAnsi="Times New Roman"/>
          <w:b w:val="0"/>
          <w:bCs w:val="0"/>
          <w:kern w:val="24"/>
          <w:sz w:val="24"/>
          <w:szCs w:val="24"/>
        </w:rPr>
      </w:pPr>
      <w:r>
        <w:separator/>
      </w:r>
    </w:p>
  </w:footnote>
  <w:footnote w:type="continuationSeparator" w:id="0">
    <w:p w:rsidR="008054A6" w:rsidRPr="00950D83" w:rsidRDefault="008054A6" w:rsidP="00950D83">
      <w:pPr>
        <w:pStyle w:val="Title"/>
        <w:rPr>
          <w:rFonts w:ascii="Times New Roman" w:hAnsi="Times New Roman"/>
          <w:b w:val="0"/>
          <w:bCs w:val="0"/>
          <w:kern w:val="24"/>
          <w:sz w:val="24"/>
          <w:szCs w:val="24"/>
        </w:rPr>
      </w:pPr>
      <w:r>
        <w:continuationSeparator/>
      </w:r>
    </w:p>
  </w:footnote>
  <w:footnote w:id="1">
    <w:p w:rsidR="008E62BA" w:rsidRPr="00D82256" w:rsidRDefault="008E62BA" w:rsidP="0074296A">
      <w:pPr>
        <w:pStyle w:val="FootnoteText"/>
        <w:ind w:left="360" w:hanging="360"/>
        <w:rPr>
          <w:kern w:val="2"/>
        </w:rPr>
      </w:pPr>
      <w:r>
        <w:rPr>
          <w:rStyle w:val="FootnoteReference"/>
        </w:rPr>
        <w:footnoteRef/>
      </w:r>
      <w:r>
        <w:t xml:space="preserve"> </w:t>
      </w:r>
      <w:r w:rsidR="0074296A">
        <w:tab/>
      </w:r>
      <w:r w:rsidRPr="00D82256">
        <w:rPr>
          <w:kern w:val="2"/>
        </w:rPr>
        <w:t>Authors of these materials include attorneys at the law firm of Feld</w:t>
      </w:r>
      <w:r w:rsidR="00E76779">
        <w:rPr>
          <w:kern w:val="2"/>
        </w:rPr>
        <w:t>esman Tucker Leifer Fidell LLP.</w:t>
      </w:r>
      <w:r w:rsidRPr="00D82256">
        <w:rPr>
          <w:kern w:val="2"/>
        </w:rPr>
        <w:t xml:space="preserve"> The sample documents offer general guidance based on f</w:t>
      </w:r>
      <w:r w:rsidR="00017C05" w:rsidRPr="00D82256">
        <w:rPr>
          <w:kern w:val="2"/>
        </w:rPr>
        <w:t>ederal law and regulations</w:t>
      </w:r>
      <w:r w:rsidRPr="00D82256">
        <w:rPr>
          <w:kern w:val="2"/>
        </w:rPr>
        <w:t xml:space="preserve"> and do not necessarily apply to all </w:t>
      </w:r>
      <w:proofErr w:type="spellStart"/>
      <w:r w:rsidR="003B7736">
        <w:rPr>
          <w:kern w:val="2"/>
        </w:rPr>
        <w:t>PCAs-HCCN</w:t>
      </w:r>
      <w:r w:rsidR="005128F5" w:rsidRPr="00D82256">
        <w:rPr>
          <w:kern w:val="2"/>
        </w:rPr>
        <w:t>s</w:t>
      </w:r>
      <w:proofErr w:type="spellEnd"/>
      <w:r w:rsidRPr="00D82256">
        <w:rPr>
          <w:kern w:val="2"/>
        </w:rPr>
        <w:t xml:space="preserve"> unde</w:t>
      </w:r>
      <w:r w:rsidR="00E76779">
        <w:rPr>
          <w:kern w:val="2"/>
        </w:rPr>
        <w:t xml:space="preserve">r all facts and circumstances. </w:t>
      </w:r>
      <w:r w:rsidRPr="00D82256">
        <w:rPr>
          <w:kern w:val="2"/>
        </w:rPr>
        <w:t>Further, these materials do not replace, and are not a substitute for, legal advice from qualified legal counsel.</w:t>
      </w:r>
    </w:p>
  </w:footnote>
  <w:footnote w:id="2">
    <w:p w:rsidR="006B59DD" w:rsidRPr="00D82256" w:rsidRDefault="006B59DD" w:rsidP="0074296A">
      <w:pPr>
        <w:pStyle w:val="FootnoteText"/>
        <w:ind w:left="360" w:hanging="360"/>
        <w:rPr>
          <w:kern w:val="2"/>
        </w:rPr>
      </w:pPr>
      <w:r w:rsidRPr="00D82256">
        <w:rPr>
          <w:rStyle w:val="FootnoteReference"/>
          <w:kern w:val="2"/>
        </w:rPr>
        <w:footnoteRef/>
      </w:r>
      <w:r w:rsidRPr="00D82256">
        <w:rPr>
          <w:kern w:val="2"/>
        </w:rPr>
        <w:t xml:space="preserve"> </w:t>
      </w:r>
      <w:r w:rsidR="0074296A" w:rsidRPr="00D82256">
        <w:rPr>
          <w:kern w:val="2"/>
        </w:rPr>
        <w:tab/>
      </w:r>
      <w:r w:rsidR="005D4DCF" w:rsidRPr="00D82256">
        <w:rPr>
          <w:kern w:val="2"/>
        </w:rPr>
        <w:t>Authors’ note:</w:t>
      </w:r>
      <w:r w:rsidRPr="00D82256">
        <w:rPr>
          <w:kern w:val="2"/>
        </w:rPr>
        <w:t xml:space="preserve"> Using the following sample as a guide, </w:t>
      </w:r>
      <w:r w:rsidR="009B0CBF">
        <w:rPr>
          <w:kern w:val="2"/>
        </w:rPr>
        <w:t>PCAs-HCCN</w:t>
      </w:r>
      <w:r w:rsidR="005128F5" w:rsidRPr="00D82256">
        <w:rPr>
          <w:kern w:val="2"/>
        </w:rPr>
        <w:t>s</w:t>
      </w:r>
      <w:r w:rsidRPr="00D82256">
        <w:rPr>
          <w:kern w:val="2"/>
        </w:rPr>
        <w:t xml:space="preserve"> should tailor the procedure to reflect their own structures and operations.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31" w:rsidRDefault="00E960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6031" w:rsidRDefault="00E9603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DD" w:rsidRDefault="006B59DD" w:rsidP="006B59DD">
    <w:pPr>
      <w:jc w:val="center"/>
      <w:rPr>
        <w:sz w:val="20"/>
      </w:rPr>
    </w:pPr>
    <w:r>
      <w:rPr>
        <w:sz w:val="20"/>
      </w:rPr>
      <w:t xml:space="preserve">Volume II: </w:t>
    </w:r>
    <w:r w:rsidR="00FE211B">
      <w:rPr>
        <w:sz w:val="20"/>
      </w:rPr>
      <w:t xml:space="preserve"> </w:t>
    </w:r>
    <w:r w:rsidR="003B7736">
      <w:rPr>
        <w:sz w:val="20"/>
      </w:rPr>
      <w:t>PCA-HCCN</w:t>
    </w:r>
    <w:r>
      <w:rPr>
        <w:sz w:val="20"/>
      </w:rPr>
      <w:t xml:space="preserve"> Risk Areas</w:t>
    </w:r>
  </w:p>
  <w:p w:rsidR="006B59DD" w:rsidRDefault="006B59DD" w:rsidP="006B59DD">
    <w:pPr>
      <w:pBdr>
        <w:bottom w:val="single" w:sz="12" w:space="0" w:color="auto"/>
      </w:pBdr>
      <w:jc w:val="center"/>
      <w:rPr>
        <w:sz w:val="20"/>
      </w:rPr>
    </w:pPr>
    <w:r>
      <w:rPr>
        <w:sz w:val="20"/>
      </w:rPr>
      <w:t>Federal Grants Management</w:t>
    </w:r>
  </w:p>
  <w:p w:rsidR="006B59DD" w:rsidRPr="00F354EE" w:rsidRDefault="006B59DD" w:rsidP="006B59DD">
    <w:pPr>
      <w:pBdr>
        <w:bottom w:val="single" w:sz="12" w:space="0" w:color="auto"/>
      </w:pBdr>
      <w:jc w:val="center"/>
      <w:rPr>
        <w:sz w:val="20"/>
      </w:rPr>
    </w:pPr>
  </w:p>
  <w:p w:rsidR="00E96031" w:rsidRPr="00C67BD3" w:rsidRDefault="00E96031" w:rsidP="00E80633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544"/>
    <w:multiLevelType w:val="hybridMultilevel"/>
    <w:tmpl w:val="A75AAEF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47D076F"/>
    <w:multiLevelType w:val="hybridMultilevel"/>
    <w:tmpl w:val="C0EE2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81B28B2"/>
    <w:multiLevelType w:val="hybridMultilevel"/>
    <w:tmpl w:val="D974C204"/>
    <w:lvl w:ilvl="0" w:tplc="04090017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84CAA"/>
    <w:multiLevelType w:val="hybridMultilevel"/>
    <w:tmpl w:val="B06EEC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43B99"/>
    <w:multiLevelType w:val="hybridMultilevel"/>
    <w:tmpl w:val="F0EE6A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E6902"/>
    <w:multiLevelType w:val="hybridMultilevel"/>
    <w:tmpl w:val="0FD82A1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5EE1FA5"/>
    <w:multiLevelType w:val="hybridMultilevel"/>
    <w:tmpl w:val="6A92C4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C7C6D"/>
    <w:multiLevelType w:val="hybridMultilevel"/>
    <w:tmpl w:val="8D62907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F8E2FA2"/>
    <w:multiLevelType w:val="hybridMultilevel"/>
    <w:tmpl w:val="1640F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5E92"/>
    <w:rsid w:val="00000546"/>
    <w:rsid w:val="00017C05"/>
    <w:rsid w:val="000344C1"/>
    <w:rsid w:val="000422A8"/>
    <w:rsid w:val="0006108F"/>
    <w:rsid w:val="000852BF"/>
    <w:rsid w:val="000A74F1"/>
    <w:rsid w:val="000E42DB"/>
    <w:rsid w:val="001001B8"/>
    <w:rsid w:val="00124D85"/>
    <w:rsid w:val="00127E92"/>
    <w:rsid w:val="001455FD"/>
    <w:rsid w:val="00146497"/>
    <w:rsid w:val="00180468"/>
    <w:rsid w:val="0019420F"/>
    <w:rsid w:val="00213A23"/>
    <w:rsid w:val="00241D37"/>
    <w:rsid w:val="00261ECC"/>
    <w:rsid w:val="00281A90"/>
    <w:rsid w:val="00283D35"/>
    <w:rsid w:val="002B08B0"/>
    <w:rsid w:val="002F77A5"/>
    <w:rsid w:val="00322381"/>
    <w:rsid w:val="00327263"/>
    <w:rsid w:val="00336EE0"/>
    <w:rsid w:val="00377AF8"/>
    <w:rsid w:val="003878C8"/>
    <w:rsid w:val="003A3A24"/>
    <w:rsid w:val="003B7736"/>
    <w:rsid w:val="003B7E86"/>
    <w:rsid w:val="003C2298"/>
    <w:rsid w:val="003D656F"/>
    <w:rsid w:val="004504E6"/>
    <w:rsid w:val="0045293C"/>
    <w:rsid w:val="004C5F01"/>
    <w:rsid w:val="00503B51"/>
    <w:rsid w:val="00510074"/>
    <w:rsid w:val="005128F5"/>
    <w:rsid w:val="00540440"/>
    <w:rsid w:val="00591FC5"/>
    <w:rsid w:val="005D4DCF"/>
    <w:rsid w:val="00602785"/>
    <w:rsid w:val="00650EC2"/>
    <w:rsid w:val="00651190"/>
    <w:rsid w:val="006B59DD"/>
    <w:rsid w:val="006D6882"/>
    <w:rsid w:val="007065D3"/>
    <w:rsid w:val="00724CAC"/>
    <w:rsid w:val="00737080"/>
    <w:rsid w:val="0074296A"/>
    <w:rsid w:val="00743EFB"/>
    <w:rsid w:val="00747440"/>
    <w:rsid w:val="00757DC2"/>
    <w:rsid w:val="00774B9F"/>
    <w:rsid w:val="007D4E1F"/>
    <w:rsid w:val="007F00CF"/>
    <w:rsid w:val="008054A6"/>
    <w:rsid w:val="00814147"/>
    <w:rsid w:val="00821FA6"/>
    <w:rsid w:val="0082241F"/>
    <w:rsid w:val="00854626"/>
    <w:rsid w:val="00857E6F"/>
    <w:rsid w:val="008A06BC"/>
    <w:rsid w:val="008A0B8E"/>
    <w:rsid w:val="008E62BA"/>
    <w:rsid w:val="00925564"/>
    <w:rsid w:val="00940A7D"/>
    <w:rsid w:val="00950D83"/>
    <w:rsid w:val="00964195"/>
    <w:rsid w:val="009B0CBF"/>
    <w:rsid w:val="009C51DB"/>
    <w:rsid w:val="009D0DEB"/>
    <w:rsid w:val="00A2282E"/>
    <w:rsid w:val="00A83283"/>
    <w:rsid w:val="00AE6393"/>
    <w:rsid w:val="00B54B9E"/>
    <w:rsid w:val="00B631B0"/>
    <w:rsid w:val="00B817C6"/>
    <w:rsid w:val="00BD3CED"/>
    <w:rsid w:val="00BD61FF"/>
    <w:rsid w:val="00C25E92"/>
    <w:rsid w:val="00C542F2"/>
    <w:rsid w:val="00C67BD3"/>
    <w:rsid w:val="00CC3A68"/>
    <w:rsid w:val="00CD112B"/>
    <w:rsid w:val="00CD2551"/>
    <w:rsid w:val="00CE28DB"/>
    <w:rsid w:val="00CE6E6A"/>
    <w:rsid w:val="00D1192D"/>
    <w:rsid w:val="00D82256"/>
    <w:rsid w:val="00D974BE"/>
    <w:rsid w:val="00DB4349"/>
    <w:rsid w:val="00DB7FC6"/>
    <w:rsid w:val="00DD0385"/>
    <w:rsid w:val="00E4400A"/>
    <w:rsid w:val="00E47B97"/>
    <w:rsid w:val="00E76779"/>
    <w:rsid w:val="00E80633"/>
    <w:rsid w:val="00E8522C"/>
    <w:rsid w:val="00E8632D"/>
    <w:rsid w:val="00E96031"/>
    <w:rsid w:val="00EE3A5D"/>
    <w:rsid w:val="00F00FD9"/>
    <w:rsid w:val="00F1086D"/>
    <w:rsid w:val="00F16A30"/>
    <w:rsid w:val="00F3433F"/>
    <w:rsid w:val="00F47B8E"/>
    <w:rsid w:val="00F7735B"/>
    <w:rsid w:val="00F9704A"/>
    <w:rsid w:val="00FA5A42"/>
    <w:rsid w:val="00FC6A83"/>
    <w:rsid w:val="00FC6F61"/>
    <w:rsid w:val="00F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Cs/>
      <w:spacing w:val="-3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pacing w:val="-3"/>
      <w:sz w:val="3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ind w:firstLine="3600"/>
      <w:outlineLvl w:val="3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Cs/>
      <w:spacing w:val="-3"/>
      <w:sz w:val="4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bCs/>
      <w:spacing w:val="-3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22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C25E9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51190"/>
    <w:rPr>
      <w:sz w:val="20"/>
      <w:szCs w:val="20"/>
    </w:rPr>
  </w:style>
  <w:style w:type="character" w:styleId="FootnoteReference">
    <w:name w:val="footnote reference"/>
    <w:semiHidden/>
    <w:rsid w:val="00651190"/>
    <w:rPr>
      <w:vertAlign w:val="superscript"/>
    </w:rPr>
  </w:style>
  <w:style w:type="character" w:styleId="CommentReference">
    <w:name w:val="annotation reference"/>
    <w:semiHidden/>
    <w:rsid w:val="002B08B0"/>
    <w:rPr>
      <w:sz w:val="16"/>
      <w:szCs w:val="16"/>
    </w:rPr>
  </w:style>
  <w:style w:type="paragraph" w:styleId="CommentText">
    <w:name w:val="annotation text"/>
    <w:basedOn w:val="Normal"/>
    <w:semiHidden/>
    <w:rsid w:val="002B08B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8B0"/>
    <w:rPr>
      <w:b/>
      <w:bCs/>
    </w:rPr>
  </w:style>
  <w:style w:type="character" w:styleId="Hyperlink">
    <w:name w:val="Hyperlink"/>
    <w:rsid w:val="00D1192D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B59DD"/>
    <w:rPr>
      <w:bCs/>
      <w:spacing w:val="-3"/>
      <w:sz w:val="24"/>
      <w:szCs w:val="24"/>
    </w:rPr>
  </w:style>
  <w:style w:type="paragraph" w:customStyle="1" w:styleId="3">
    <w:name w:val="3)"/>
    <w:basedOn w:val="Normal"/>
    <w:rsid w:val="008E62BA"/>
    <w:pPr>
      <w:jc w:val="both"/>
    </w:pPr>
    <w:rPr>
      <w:szCs w:val="20"/>
    </w:rPr>
  </w:style>
  <w:style w:type="character" w:customStyle="1" w:styleId="BalloonTextChar">
    <w:name w:val="Balloon Text Char"/>
    <w:link w:val="BalloonText"/>
    <w:uiPriority w:val="99"/>
    <w:semiHidden/>
    <w:rsid w:val="008E62BA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8E6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Cs/>
      <w:spacing w:val="-3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pacing w:val="-3"/>
      <w:sz w:val="3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ind w:firstLine="3600"/>
      <w:outlineLvl w:val="3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Cs/>
      <w:spacing w:val="-3"/>
      <w:sz w:val="4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bCs/>
      <w:spacing w:val="-3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22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C25E9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51190"/>
    <w:rPr>
      <w:sz w:val="20"/>
      <w:szCs w:val="20"/>
    </w:rPr>
  </w:style>
  <w:style w:type="character" w:styleId="FootnoteReference">
    <w:name w:val="footnote reference"/>
    <w:semiHidden/>
    <w:rsid w:val="00651190"/>
    <w:rPr>
      <w:vertAlign w:val="superscript"/>
    </w:rPr>
  </w:style>
  <w:style w:type="character" w:styleId="CommentReference">
    <w:name w:val="annotation reference"/>
    <w:semiHidden/>
    <w:rsid w:val="002B08B0"/>
    <w:rPr>
      <w:sz w:val="16"/>
      <w:szCs w:val="16"/>
    </w:rPr>
  </w:style>
  <w:style w:type="paragraph" w:styleId="CommentText">
    <w:name w:val="annotation text"/>
    <w:basedOn w:val="Normal"/>
    <w:semiHidden/>
    <w:rsid w:val="002B08B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8B0"/>
    <w:rPr>
      <w:b/>
      <w:bCs/>
    </w:rPr>
  </w:style>
  <w:style w:type="character" w:styleId="Hyperlink">
    <w:name w:val="Hyperlink"/>
    <w:rsid w:val="00D1192D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B59DD"/>
    <w:rPr>
      <w:bCs/>
      <w:spacing w:val="-3"/>
      <w:sz w:val="24"/>
      <w:szCs w:val="24"/>
    </w:rPr>
  </w:style>
  <w:style w:type="paragraph" w:customStyle="1" w:styleId="3">
    <w:name w:val="3)"/>
    <w:basedOn w:val="Normal"/>
    <w:rsid w:val="008E62BA"/>
    <w:pPr>
      <w:jc w:val="both"/>
    </w:pPr>
    <w:rPr>
      <w:szCs w:val="20"/>
    </w:rPr>
  </w:style>
  <w:style w:type="character" w:customStyle="1" w:styleId="BalloonTextChar">
    <w:name w:val="Balloon Text Char"/>
    <w:link w:val="BalloonText"/>
    <w:uiPriority w:val="99"/>
    <w:semiHidden/>
    <w:rsid w:val="008E62BA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8E6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290C-4065-4C72-932C-1620C56C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Policy and Procedure</vt:lpstr>
    </vt:vector>
  </TitlesOfParts>
  <Company>Feldesman, Tucker, Leifer, Fidell, &amp; Bank LLP</Company>
  <LinksUpToDate>false</LinksUpToDate>
  <CharactersWithSpaces>6674</CharactersWithSpaces>
  <SharedDoc>false</SharedDoc>
  <HLinks>
    <vt:vector size="12" baseType="variant">
      <vt:variant>
        <vt:i4>4980748</vt:i4>
      </vt:variant>
      <vt:variant>
        <vt:i4>3</vt:i4>
      </vt:variant>
      <vt:variant>
        <vt:i4>0</vt:i4>
      </vt:variant>
      <vt:variant>
        <vt:i4>5</vt:i4>
      </vt:variant>
      <vt:variant>
        <vt:lpwstr>../../Volume I - Elements of Effective Compliance Programs/II - Developing and Implementing Compliance and Practice Standards/Sample Policy and Procedure - Record Retention.DOC</vt:lpwstr>
      </vt:variant>
      <vt:variant>
        <vt:lpwstr/>
      </vt:variant>
      <vt:variant>
        <vt:i4>4980748</vt:i4>
      </vt:variant>
      <vt:variant>
        <vt:i4>0</vt:i4>
      </vt:variant>
      <vt:variant>
        <vt:i4>0</vt:i4>
      </vt:variant>
      <vt:variant>
        <vt:i4>5</vt:i4>
      </vt:variant>
      <vt:variant>
        <vt:lpwstr>../../Volume I - Elements of Effective Compliance Programs/II - Developing and Implementing Compliance and Practice Standards/Sample Policy and Procedure - Record Retention.DOC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Policy and Procedure</dc:title>
  <dc:creator>Company Standard</dc:creator>
  <cp:lastModifiedBy>Malone, Sean</cp:lastModifiedBy>
  <cp:revision>2</cp:revision>
  <cp:lastPrinted>2015-08-11T14:01:00Z</cp:lastPrinted>
  <dcterms:created xsi:type="dcterms:W3CDTF">2017-11-07T20:30:00Z</dcterms:created>
  <dcterms:modified xsi:type="dcterms:W3CDTF">2017-11-07T20:30:00Z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ABAAVOAfoSrQoyxv4cMpmEq8GnJdf3yY7QVBb3amnMYXFAo4iGZ14bkod8eQAnuXwaJS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4AAA9DNYQidmug6udczpMtWIrMx3BYjf277MZo9dWqOaVBPRJOjl474OUA==</vt:lpwstr>
  </property>
</Properties>
</file>