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77" w:rsidRPr="00686A94" w:rsidRDefault="00227DD1" w:rsidP="00782562">
      <w:pPr>
        <w:jc w:val="center"/>
        <w:rPr>
          <w:b/>
          <w:sz w:val="32"/>
          <w:szCs w:val="32"/>
        </w:rPr>
      </w:pPr>
      <w:bookmarkStart w:id="0" w:name="_GoBack"/>
      <w:bookmarkEnd w:id="0"/>
      <w:r w:rsidRPr="00686A94">
        <w:rPr>
          <w:b/>
          <w:sz w:val="32"/>
          <w:szCs w:val="32"/>
        </w:rPr>
        <w:t>Non-Retaliation</w:t>
      </w:r>
      <w:r w:rsidR="00F00FC2" w:rsidRPr="00686A94">
        <w:rPr>
          <w:b/>
          <w:sz w:val="32"/>
          <w:szCs w:val="32"/>
        </w:rPr>
        <w:t xml:space="preserve"> and</w:t>
      </w:r>
      <w:r w:rsidR="00016E38" w:rsidRPr="00686A94">
        <w:rPr>
          <w:b/>
          <w:sz w:val="32"/>
          <w:szCs w:val="32"/>
        </w:rPr>
        <w:t xml:space="preserve"> Whistleblower </w:t>
      </w:r>
      <w:r w:rsidRPr="00686A94">
        <w:rPr>
          <w:b/>
          <w:sz w:val="32"/>
          <w:szCs w:val="32"/>
        </w:rPr>
        <w:t>Protection</w:t>
      </w:r>
      <w:r w:rsidR="00BD1077" w:rsidRPr="00686A94">
        <w:rPr>
          <w:b/>
          <w:sz w:val="32"/>
          <w:szCs w:val="32"/>
        </w:rPr>
        <w:t>:</w:t>
      </w:r>
    </w:p>
    <w:p w:rsidR="00227DD1" w:rsidRPr="00686A94" w:rsidRDefault="00BD1077" w:rsidP="00782562">
      <w:pPr>
        <w:pStyle w:val="Title"/>
        <w:rPr>
          <w:rFonts w:ascii="Times New Roman" w:hAnsi="Times New Roman"/>
          <w:sz w:val="32"/>
          <w:szCs w:val="32"/>
        </w:rPr>
      </w:pPr>
      <w:r w:rsidRPr="00686A94">
        <w:rPr>
          <w:rFonts w:ascii="Times New Roman" w:hAnsi="Times New Roman"/>
          <w:sz w:val="32"/>
          <w:szCs w:val="32"/>
        </w:rPr>
        <w:t>Sample Policy and Procedure</w:t>
      </w:r>
      <w:r w:rsidR="00227DD1" w:rsidRPr="00686A94">
        <w:rPr>
          <w:rStyle w:val="FootnoteReference"/>
          <w:b w:val="0"/>
          <w:szCs w:val="24"/>
        </w:rPr>
        <w:footnoteReference w:id="1"/>
      </w:r>
    </w:p>
    <w:p w:rsidR="00227DD1" w:rsidRPr="00686A94" w:rsidRDefault="00227DD1" w:rsidP="00782562">
      <w:pPr>
        <w:pBdr>
          <w:bottom w:val="single" w:sz="12" w:space="1" w:color="auto"/>
        </w:pBdr>
        <w:autoSpaceDE w:val="0"/>
        <w:autoSpaceDN w:val="0"/>
        <w:adjustRightInd w:val="0"/>
        <w:jc w:val="both"/>
        <w:rPr>
          <w:szCs w:val="24"/>
        </w:rPr>
      </w:pPr>
    </w:p>
    <w:p w:rsidR="00227DD1" w:rsidRPr="00686A94" w:rsidRDefault="00227DD1" w:rsidP="00782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rsidR="009B229B" w:rsidRPr="00686A94" w:rsidRDefault="00E4500E" w:rsidP="00782562">
      <w:pPr>
        <w:tabs>
          <w:tab w:val="left" w:pos="2160"/>
        </w:tabs>
        <w:jc w:val="both"/>
        <w:rPr>
          <w:rFonts w:cs="Arial"/>
          <w:bCs/>
        </w:rPr>
      </w:pPr>
      <w:proofErr w:type="gramStart"/>
      <w:r w:rsidRPr="00686A94">
        <w:rPr>
          <w:rFonts w:cs="Arial"/>
          <w:b/>
        </w:rPr>
        <w:t>Purpose.</w:t>
      </w:r>
      <w:proofErr w:type="gramEnd"/>
    </w:p>
    <w:p w:rsidR="00540DC8" w:rsidRPr="00686A94" w:rsidRDefault="00540DC8" w:rsidP="00782562">
      <w:pPr>
        <w:tabs>
          <w:tab w:val="left" w:pos="2160"/>
        </w:tabs>
        <w:jc w:val="both"/>
        <w:rPr>
          <w:rFonts w:cs="Arial"/>
          <w:bCs/>
        </w:rPr>
      </w:pPr>
    </w:p>
    <w:p w:rsidR="006E2A61" w:rsidRPr="00686A94" w:rsidRDefault="00E4500E" w:rsidP="00782562">
      <w:pPr>
        <w:tabs>
          <w:tab w:val="left" w:pos="2160"/>
        </w:tabs>
        <w:jc w:val="both"/>
        <w:rPr>
          <w:rFonts w:cs="Arial"/>
          <w:bCs/>
        </w:rPr>
      </w:pPr>
      <w:r w:rsidRPr="00686A94">
        <w:rPr>
          <w:rFonts w:cs="Arial"/>
          <w:bCs/>
        </w:rPr>
        <w:t xml:space="preserve">The </w:t>
      </w:r>
      <w:r w:rsidR="003F5EFF" w:rsidRPr="00686A94">
        <w:rPr>
          <w:rFonts w:cs="Arial"/>
          <w:bCs/>
        </w:rPr>
        <w:t>purpose of this policy</w:t>
      </w:r>
      <w:r w:rsidR="000C2E7A" w:rsidRPr="00686A94">
        <w:rPr>
          <w:rFonts w:cs="Arial"/>
          <w:bCs/>
        </w:rPr>
        <w:t xml:space="preserve"> is t</w:t>
      </w:r>
      <w:r w:rsidR="006E2A61" w:rsidRPr="00686A94">
        <w:rPr>
          <w:rFonts w:cs="Arial"/>
          <w:bCs/>
        </w:rPr>
        <w:t xml:space="preserve">o </w:t>
      </w:r>
      <w:r w:rsidR="00EC65E0" w:rsidRPr="00686A94">
        <w:rPr>
          <w:rFonts w:cs="Arial"/>
          <w:bCs/>
        </w:rPr>
        <w:t>set forth [</w:t>
      </w:r>
      <w:r w:rsidR="00B108E3" w:rsidRPr="00686A94">
        <w:rPr>
          <w:rFonts w:cs="Arial"/>
          <w:bCs/>
          <w:i/>
        </w:rPr>
        <w:t>Health Center Name</w:t>
      </w:r>
      <w:r w:rsidR="00EC65E0" w:rsidRPr="00686A94">
        <w:rPr>
          <w:rFonts w:cs="Arial"/>
          <w:bCs/>
        </w:rPr>
        <w:t>]’s prohibition against retaliation</w:t>
      </w:r>
      <w:r w:rsidR="00C46AB2" w:rsidRPr="00686A94">
        <w:rPr>
          <w:rFonts w:cs="Arial"/>
          <w:bCs/>
        </w:rPr>
        <w:t xml:space="preserve"> </w:t>
      </w:r>
      <w:r w:rsidR="00EC65E0" w:rsidRPr="00686A94">
        <w:rPr>
          <w:rFonts w:cs="Arial"/>
          <w:bCs/>
        </w:rPr>
        <w:t>against any individual who, in good faith, reports a possible violation of fed</w:t>
      </w:r>
      <w:r w:rsidR="008F3A3C">
        <w:rPr>
          <w:rFonts w:cs="Arial"/>
          <w:bCs/>
        </w:rPr>
        <w:t xml:space="preserve">eral or state law or regulation or </w:t>
      </w:r>
      <w:r w:rsidR="008F3A3C" w:rsidRPr="00686A94">
        <w:rPr>
          <w:rFonts w:cs="Arial"/>
          <w:bCs/>
        </w:rPr>
        <w:t>[</w:t>
      </w:r>
      <w:r w:rsidR="008F3A3C" w:rsidRPr="00686A94">
        <w:rPr>
          <w:rFonts w:cs="Arial"/>
          <w:bCs/>
          <w:i/>
        </w:rPr>
        <w:t>Health Center Name</w:t>
      </w:r>
      <w:r w:rsidR="008F3A3C" w:rsidRPr="00686A94">
        <w:rPr>
          <w:rFonts w:cs="Arial"/>
          <w:bCs/>
        </w:rPr>
        <w:t>]</w:t>
      </w:r>
      <w:r w:rsidR="00EC65E0" w:rsidRPr="00686A94">
        <w:rPr>
          <w:rFonts w:cs="Arial"/>
          <w:bCs/>
        </w:rPr>
        <w:t xml:space="preserve">’s </w:t>
      </w:r>
      <w:r w:rsidR="008F3A3C">
        <w:rPr>
          <w:rFonts w:cs="Arial"/>
          <w:bCs/>
        </w:rPr>
        <w:t>Standards of Conduct, Corporate Compliance Plan or policies and procedures.</w:t>
      </w:r>
    </w:p>
    <w:p w:rsidR="006E2A61" w:rsidRPr="00686A94" w:rsidRDefault="006E2A61" w:rsidP="00782562">
      <w:pPr>
        <w:jc w:val="both"/>
      </w:pPr>
      <w:r w:rsidRPr="00686A94">
        <w:t xml:space="preserve"> </w:t>
      </w:r>
    </w:p>
    <w:p w:rsidR="009B229B" w:rsidRPr="00686A94" w:rsidRDefault="00E4500E" w:rsidP="00782562">
      <w:pPr>
        <w:pStyle w:val="Heading1"/>
        <w:ind w:left="0"/>
        <w:jc w:val="both"/>
        <w:rPr>
          <w:rFonts w:ascii="Times New Roman" w:eastAsia="Calibri" w:hAnsi="Times New Roman" w:cs="Arial"/>
          <w:b w:val="0"/>
          <w:sz w:val="24"/>
          <w:szCs w:val="22"/>
        </w:rPr>
      </w:pPr>
      <w:proofErr w:type="gramStart"/>
      <w:r w:rsidRPr="00686A94">
        <w:rPr>
          <w:rFonts w:ascii="Times New Roman" w:eastAsia="Calibri" w:hAnsi="Times New Roman" w:cs="Arial"/>
          <w:sz w:val="24"/>
          <w:szCs w:val="22"/>
        </w:rPr>
        <w:t>Policy.</w:t>
      </w:r>
      <w:proofErr w:type="gramEnd"/>
    </w:p>
    <w:p w:rsidR="00E4500E" w:rsidRPr="00686A94" w:rsidRDefault="00E4500E" w:rsidP="00782562">
      <w:pPr>
        <w:pStyle w:val="Heading1"/>
        <w:ind w:left="0"/>
        <w:jc w:val="both"/>
        <w:rPr>
          <w:rFonts w:ascii="Times New Roman" w:eastAsia="Calibri" w:hAnsi="Times New Roman" w:cs="Arial"/>
          <w:b w:val="0"/>
          <w:sz w:val="24"/>
          <w:szCs w:val="22"/>
        </w:rPr>
      </w:pPr>
    </w:p>
    <w:p w:rsidR="004D5AAC" w:rsidRPr="00686A94" w:rsidRDefault="004D5AAC" w:rsidP="00782562">
      <w:pPr>
        <w:pStyle w:val="Heading1"/>
        <w:ind w:left="0"/>
        <w:jc w:val="both"/>
        <w:rPr>
          <w:rFonts w:ascii="Times New Roman" w:eastAsia="Calibri" w:hAnsi="Times New Roman" w:cs="Arial"/>
          <w:b w:val="0"/>
          <w:sz w:val="24"/>
          <w:szCs w:val="22"/>
        </w:rPr>
      </w:pPr>
      <w:r w:rsidRPr="00686A94">
        <w:rPr>
          <w:rFonts w:ascii="Times New Roman" w:eastAsia="Calibri" w:hAnsi="Times New Roman"/>
          <w:b w:val="0"/>
          <w:sz w:val="24"/>
        </w:rPr>
        <w:t xml:space="preserve">It is the </w:t>
      </w:r>
      <w:r w:rsidRPr="008F3A3C">
        <w:rPr>
          <w:rFonts w:ascii="Times New Roman" w:eastAsia="Calibri" w:hAnsi="Times New Roman"/>
          <w:b w:val="0"/>
          <w:sz w:val="24"/>
        </w:rPr>
        <w:t>policy of</w:t>
      </w:r>
      <w:r w:rsidR="00867763" w:rsidRPr="008F3A3C">
        <w:rPr>
          <w:rFonts w:ascii="Times New Roman" w:eastAsia="Calibri" w:hAnsi="Times New Roman"/>
          <w:b w:val="0"/>
          <w:sz w:val="24"/>
        </w:rPr>
        <w:t xml:space="preserve"> </w:t>
      </w:r>
      <w:r w:rsidR="008F3A3C" w:rsidRPr="008F3A3C">
        <w:rPr>
          <w:rFonts w:ascii="Times New Roman" w:hAnsi="Times New Roman"/>
          <w:b w:val="0"/>
          <w:bCs/>
          <w:sz w:val="24"/>
        </w:rPr>
        <w:t>[</w:t>
      </w:r>
      <w:r w:rsidR="008F3A3C" w:rsidRPr="008F3A3C">
        <w:rPr>
          <w:rFonts w:ascii="Times New Roman" w:hAnsi="Times New Roman"/>
          <w:b w:val="0"/>
          <w:bCs/>
          <w:i/>
          <w:sz w:val="24"/>
        </w:rPr>
        <w:t>Health Center Name</w:t>
      </w:r>
      <w:r w:rsidR="008F3A3C" w:rsidRPr="008F3A3C">
        <w:rPr>
          <w:rFonts w:ascii="Times New Roman" w:hAnsi="Times New Roman"/>
          <w:b w:val="0"/>
          <w:bCs/>
          <w:sz w:val="24"/>
        </w:rPr>
        <w:t>]</w:t>
      </w:r>
      <w:r w:rsidR="008F3A3C">
        <w:rPr>
          <w:rFonts w:ascii="Times New Roman" w:hAnsi="Times New Roman"/>
          <w:b w:val="0"/>
          <w:bCs/>
          <w:sz w:val="24"/>
        </w:rPr>
        <w:t xml:space="preserve"> </w:t>
      </w:r>
      <w:r w:rsidRPr="008F3A3C">
        <w:rPr>
          <w:rFonts w:ascii="Times New Roman" w:eastAsia="Calibri" w:hAnsi="Times New Roman"/>
          <w:b w:val="0"/>
          <w:sz w:val="24"/>
        </w:rPr>
        <w:t>to</w:t>
      </w:r>
      <w:r w:rsidRPr="00686A94">
        <w:rPr>
          <w:rFonts w:ascii="Times New Roman" w:eastAsia="Calibri" w:hAnsi="Times New Roman" w:cs="Arial"/>
          <w:b w:val="0"/>
          <w:sz w:val="24"/>
          <w:szCs w:val="22"/>
        </w:rPr>
        <w:t xml:space="preserve"> promote and maintain a culture of open communication, compliance, and responsible behavior. In order to protect this culture</w:t>
      </w:r>
      <w:r w:rsidR="00FF74A8">
        <w:rPr>
          <w:rFonts w:ascii="Times New Roman" w:eastAsia="Calibri" w:hAnsi="Times New Roman"/>
          <w:b w:val="0"/>
          <w:sz w:val="24"/>
        </w:rPr>
        <w:t xml:space="preserve">, </w:t>
      </w:r>
      <w:r w:rsidR="00FF74A8" w:rsidRPr="008F3A3C">
        <w:rPr>
          <w:rFonts w:ascii="Times New Roman" w:hAnsi="Times New Roman"/>
          <w:b w:val="0"/>
          <w:bCs/>
          <w:sz w:val="24"/>
        </w:rPr>
        <w:t>[</w:t>
      </w:r>
      <w:r w:rsidR="00FF74A8" w:rsidRPr="008F3A3C">
        <w:rPr>
          <w:rFonts w:ascii="Times New Roman" w:hAnsi="Times New Roman"/>
          <w:b w:val="0"/>
          <w:bCs/>
          <w:i/>
          <w:sz w:val="24"/>
        </w:rPr>
        <w:t>Health Center Name</w:t>
      </w:r>
      <w:r w:rsidR="00FF74A8" w:rsidRPr="008F3A3C">
        <w:rPr>
          <w:rFonts w:ascii="Times New Roman" w:hAnsi="Times New Roman"/>
          <w:b w:val="0"/>
          <w:bCs/>
          <w:sz w:val="24"/>
        </w:rPr>
        <w:t>]</w:t>
      </w:r>
      <w:r w:rsidR="00FF74A8">
        <w:rPr>
          <w:rFonts w:ascii="Times New Roman" w:hAnsi="Times New Roman"/>
          <w:b w:val="0"/>
          <w:bCs/>
          <w:sz w:val="24"/>
        </w:rPr>
        <w:t xml:space="preserve"> </w:t>
      </w:r>
      <w:r w:rsidR="00FF74A8">
        <w:rPr>
          <w:rFonts w:ascii="Times New Roman" w:eastAsia="Calibri" w:hAnsi="Times New Roman"/>
          <w:b w:val="0"/>
          <w:sz w:val="24"/>
        </w:rPr>
        <w:t>does</w:t>
      </w:r>
      <w:r w:rsidRPr="00686A94">
        <w:rPr>
          <w:rFonts w:ascii="Times New Roman" w:eastAsia="Calibri" w:hAnsi="Times New Roman" w:cs="Arial"/>
          <w:b w:val="0"/>
          <w:sz w:val="24"/>
          <w:szCs w:val="22"/>
        </w:rPr>
        <w:t xml:space="preserve"> not tolerate retaliation </w:t>
      </w:r>
      <w:r w:rsidR="001D093D" w:rsidRPr="00686A94">
        <w:rPr>
          <w:rFonts w:ascii="Times New Roman" w:eastAsia="Calibri" w:hAnsi="Times New Roman" w:cs="Arial"/>
          <w:b w:val="0"/>
          <w:sz w:val="24"/>
          <w:szCs w:val="22"/>
        </w:rPr>
        <w:t xml:space="preserve">including intimidation, threats, coercion, </w:t>
      </w:r>
      <w:r w:rsidR="001D093D" w:rsidRPr="00FF74A8">
        <w:rPr>
          <w:rFonts w:ascii="Times New Roman" w:eastAsia="Calibri" w:hAnsi="Times New Roman"/>
          <w:b w:val="0"/>
          <w:sz w:val="24"/>
        </w:rPr>
        <w:t xml:space="preserve">discrimination, and any other form of retaliation </w:t>
      </w:r>
      <w:r w:rsidRPr="00FF74A8">
        <w:rPr>
          <w:rFonts w:ascii="Times New Roman" w:eastAsia="Calibri" w:hAnsi="Times New Roman"/>
          <w:b w:val="0"/>
          <w:sz w:val="24"/>
        </w:rPr>
        <w:t xml:space="preserve">of any individual who raises questions or </w:t>
      </w:r>
      <w:r w:rsidR="00867763" w:rsidRPr="00FF74A8">
        <w:rPr>
          <w:rFonts w:ascii="Times New Roman" w:eastAsia="Calibri" w:hAnsi="Times New Roman"/>
          <w:b w:val="0"/>
          <w:sz w:val="24"/>
        </w:rPr>
        <w:t xml:space="preserve">concerns, in good faith, about </w:t>
      </w:r>
      <w:r w:rsidR="00FF74A8" w:rsidRPr="00FF74A8">
        <w:rPr>
          <w:rFonts w:ascii="Times New Roman" w:hAnsi="Times New Roman"/>
          <w:b w:val="0"/>
          <w:bCs/>
          <w:sz w:val="24"/>
        </w:rPr>
        <w:t>[</w:t>
      </w:r>
      <w:r w:rsidR="00FF74A8" w:rsidRPr="00FF74A8">
        <w:rPr>
          <w:rFonts w:ascii="Times New Roman" w:hAnsi="Times New Roman"/>
          <w:b w:val="0"/>
          <w:bCs/>
          <w:i/>
          <w:sz w:val="24"/>
        </w:rPr>
        <w:t>Health Center Name</w:t>
      </w:r>
      <w:r w:rsidR="00FF74A8" w:rsidRPr="00FF74A8">
        <w:rPr>
          <w:rFonts w:ascii="Times New Roman" w:hAnsi="Times New Roman"/>
          <w:b w:val="0"/>
          <w:bCs/>
          <w:sz w:val="24"/>
        </w:rPr>
        <w:t xml:space="preserve">]’s </w:t>
      </w:r>
      <w:r w:rsidRPr="00FF74A8">
        <w:rPr>
          <w:rFonts w:ascii="Times New Roman" w:eastAsia="Calibri" w:hAnsi="Times New Roman"/>
          <w:b w:val="0"/>
          <w:sz w:val="24"/>
        </w:rPr>
        <w:t xml:space="preserve">compliance with federal or </w:t>
      </w:r>
      <w:r w:rsidR="00867763" w:rsidRPr="00FF74A8">
        <w:rPr>
          <w:rFonts w:ascii="Times New Roman" w:eastAsia="Calibri" w:hAnsi="Times New Roman"/>
          <w:b w:val="0"/>
          <w:sz w:val="24"/>
        </w:rPr>
        <w:t>state law or regulation</w:t>
      </w:r>
      <w:r w:rsidR="00FF74A8" w:rsidRPr="00FF74A8">
        <w:rPr>
          <w:rFonts w:ascii="Times New Roman" w:eastAsia="Calibri" w:hAnsi="Times New Roman"/>
          <w:b w:val="0"/>
          <w:sz w:val="24"/>
        </w:rPr>
        <w:t xml:space="preserve"> </w:t>
      </w:r>
      <w:r w:rsidR="00FF74A8" w:rsidRPr="00FF74A8">
        <w:rPr>
          <w:rFonts w:ascii="Times New Roman" w:hAnsi="Times New Roman"/>
          <w:b w:val="0"/>
          <w:bCs/>
          <w:sz w:val="24"/>
        </w:rPr>
        <w:t>or [</w:t>
      </w:r>
      <w:r w:rsidR="00FF74A8" w:rsidRPr="00FF74A8">
        <w:rPr>
          <w:rFonts w:ascii="Times New Roman" w:hAnsi="Times New Roman"/>
          <w:b w:val="0"/>
          <w:bCs/>
          <w:i/>
          <w:sz w:val="24"/>
        </w:rPr>
        <w:t>Health Center Name</w:t>
      </w:r>
      <w:r w:rsidR="00FF74A8" w:rsidRPr="00FF74A8">
        <w:rPr>
          <w:rFonts w:ascii="Times New Roman" w:hAnsi="Times New Roman"/>
          <w:b w:val="0"/>
          <w:bCs/>
          <w:sz w:val="24"/>
        </w:rPr>
        <w:t>]’s Standards of Conduct, Corporate Compliance Plan or policies and procedures.</w:t>
      </w:r>
    </w:p>
    <w:p w:rsidR="00DB74A3" w:rsidRPr="00686A94" w:rsidRDefault="00DB74A3" w:rsidP="00782562">
      <w:pPr>
        <w:jc w:val="both"/>
      </w:pPr>
    </w:p>
    <w:p w:rsidR="004D5AAC" w:rsidRPr="00686A94" w:rsidRDefault="00DB74A3" w:rsidP="00782562">
      <w:pPr>
        <w:jc w:val="both"/>
      </w:pPr>
      <w:r w:rsidRPr="00686A94">
        <w:rPr>
          <w:rFonts w:cs="Arial"/>
        </w:rPr>
        <w:t>In addition, individuals have the right to be protected against retaliation under certain federal and state laws such as the Health Insurance Portability and Accountability Act (HIPAA), the federal False Claims Act, the [</w:t>
      </w:r>
      <w:r w:rsidRPr="00686A94">
        <w:rPr>
          <w:rFonts w:cs="Arial"/>
          <w:i/>
        </w:rPr>
        <w:t>state False Claims Act</w:t>
      </w:r>
      <w:r w:rsidR="00FF74A8">
        <w:rPr>
          <w:rFonts w:cs="Arial"/>
        </w:rPr>
        <w:t>] and</w:t>
      </w:r>
      <w:r w:rsidRPr="00686A94">
        <w:rPr>
          <w:rFonts w:cs="Arial"/>
        </w:rPr>
        <w:t xml:space="preserve"> any other applicable law. Certain remedies are available under these laws for individuals who are retaliated against for reporting.</w:t>
      </w:r>
    </w:p>
    <w:p w:rsidR="00587BB4" w:rsidRPr="00686A94" w:rsidRDefault="00587BB4" w:rsidP="00782562">
      <w:pPr>
        <w:pStyle w:val="Heading1"/>
        <w:ind w:left="0"/>
        <w:jc w:val="both"/>
        <w:rPr>
          <w:rFonts w:ascii="Times New Roman" w:eastAsia="Calibri" w:hAnsi="Times New Roman" w:cs="Arial"/>
          <w:b w:val="0"/>
          <w:sz w:val="24"/>
          <w:szCs w:val="22"/>
        </w:rPr>
      </w:pPr>
    </w:p>
    <w:p w:rsidR="00FB51A1" w:rsidRPr="00686A94" w:rsidRDefault="00FB51A1" w:rsidP="00782562">
      <w:pPr>
        <w:pStyle w:val="Heading1"/>
        <w:ind w:left="0"/>
        <w:jc w:val="both"/>
        <w:rPr>
          <w:rFonts w:ascii="Times New Roman" w:eastAsia="Calibri" w:hAnsi="Times New Roman" w:cs="Arial"/>
          <w:b w:val="0"/>
          <w:sz w:val="24"/>
          <w:szCs w:val="22"/>
        </w:rPr>
      </w:pPr>
      <w:r w:rsidRPr="00686A94">
        <w:rPr>
          <w:rFonts w:ascii="Times New Roman" w:eastAsia="Calibri" w:hAnsi="Times New Roman" w:cs="Arial"/>
          <w:b w:val="0"/>
          <w:sz w:val="24"/>
          <w:szCs w:val="22"/>
        </w:rPr>
        <w:t xml:space="preserve">This policy applies to all employees, </w:t>
      </w:r>
      <w:r w:rsidR="00E60D68" w:rsidRPr="00686A94">
        <w:rPr>
          <w:rFonts w:ascii="Times New Roman" w:eastAsia="Calibri" w:hAnsi="Times New Roman" w:cs="Arial"/>
          <w:b w:val="0"/>
          <w:sz w:val="24"/>
          <w:szCs w:val="22"/>
        </w:rPr>
        <w:t>volunteers, vendors/contr</w:t>
      </w:r>
      <w:r w:rsidR="00867763" w:rsidRPr="00686A94">
        <w:rPr>
          <w:rFonts w:ascii="Times New Roman" w:eastAsia="Calibri" w:hAnsi="Times New Roman" w:cs="Arial"/>
          <w:b w:val="0"/>
          <w:sz w:val="24"/>
          <w:szCs w:val="22"/>
        </w:rPr>
        <w:t>actors, grantees, and agents of</w:t>
      </w:r>
      <w:r w:rsidR="00FF74A8">
        <w:rPr>
          <w:rFonts w:ascii="Times New Roman" w:eastAsia="Calibri" w:hAnsi="Times New Roman" w:cs="Arial"/>
          <w:b w:val="0"/>
          <w:sz w:val="24"/>
          <w:szCs w:val="22"/>
        </w:rPr>
        <w:t xml:space="preserve"> </w:t>
      </w:r>
      <w:r w:rsidR="00FF74A8" w:rsidRPr="008F3A3C">
        <w:rPr>
          <w:rFonts w:ascii="Times New Roman" w:hAnsi="Times New Roman"/>
          <w:b w:val="0"/>
          <w:bCs/>
          <w:sz w:val="24"/>
        </w:rPr>
        <w:t>[</w:t>
      </w:r>
      <w:r w:rsidR="00FF74A8" w:rsidRPr="008F3A3C">
        <w:rPr>
          <w:rFonts w:ascii="Times New Roman" w:hAnsi="Times New Roman"/>
          <w:b w:val="0"/>
          <w:bCs/>
          <w:i/>
          <w:sz w:val="24"/>
        </w:rPr>
        <w:t>Health Center Name</w:t>
      </w:r>
      <w:r w:rsidR="00FF74A8" w:rsidRPr="008F3A3C">
        <w:rPr>
          <w:rFonts w:ascii="Times New Roman" w:hAnsi="Times New Roman"/>
          <w:b w:val="0"/>
          <w:bCs/>
          <w:sz w:val="24"/>
        </w:rPr>
        <w:t>]</w:t>
      </w:r>
      <w:r w:rsidR="00FF74A8">
        <w:rPr>
          <w:rFonts w:ascii="Times New Roman" w:hAnsi="Times New Roman"/>
          <w:b w:val="0"/>
          <w:bCs/>
          <w:sz w:val="24"/>
        </w:rPr>
        <w:t>.</w:t>
      </w:r>
      <w:r w:rsidR="00867763" w:rsidRPr="00686A94">
        <w:rPr>
          <w:rFonts w:ascii="Times New Roman" w:eastAsia="Calibri" w:hAnsi="Times New Roman" w:cs="Arial"/>
          <w:b w:val="0"/>
          <w:sz w:val="24"/>
          <w:szCs w:val="22"/>
        </w:rPr>
        <w:t xml:space="preserve"> </w:t>
      </w:r>
    </w:p>
    <w:p w:rsidR="00F86F1E" w:rsidRPr="00686A94" w:rsidRDefault="00F86F1E" w:rsidP="00782562">
      <w:pPr>
        <w:ind w:right="-115"/>
        <w:jc w:val="both"/>
        <w:rPr>
          <w:rFonts w:cs="Arial"/>
          <w:b/>
          <w:u w:val="single"/>
        </w:rPr>
      </w:pPr>
    </w:p>
    <w:p w:rsidR="009B229B" w:rsidRPr="00686A94" w:rsidRDefault="006E2A61" w:rsidP="00782562">
      <w:pPr>
        <w:ind w:right="-115"/>
        <w:jc w:val="both"/>
        <w:rPr>
          <w:rFonts w:cs="Arial"/>
          <w:b/>
        </w:rPr>
      </w:pPr>
      <w:proofErr w:type="gramStart"/>
      <w:r w:rsidRPr="00686A94">
        <w:rPr>
          <w:rFonts w:cs="Arial"/>
          <w:b/>
        </w:rPr>
        <w:t>P</w:t>
      </w:r>
      <w:r w:rsidR="00E4500E" w:rsidRPr="00686A94">
        <w:rPr>
          <w:rFonts w:cs="Arial"/>
          <w:b/>
        </w:rPr>
        <w:t>rocedure.</w:t>
      </w:r>
      <w:proofErr w:type="gramEnd"/>
      <w:r w:rsidR="00E4500E" w:rsidRPr="00686A94">
        <w:rPr>
          <w:rStyle w:val="FootnoteReference"/>
          <w:rFonts w:cs="Arial"/>
        </w:rPr>
        <w:footnoteReference w:id="2"/>
      </w:r>
    </w:p>
    <w:p w:rsidR="00C61D50" w:rsidRPr="00686A94" w:rsidRDefault="00C61D50" w:rsidP="00782562">
      <w:pPr>
        <w:ind w:right="-115"/>
        <w:jc w:val="both"/>
        <w:rPr>
          <w:rFonts w:cs="Arial"/>
        </w:rPr>
      </w:pPr>
    </w:p>
    <w:p w:rsidR="00F86F1E" w:rsidRDefault="00B832E8" w:rsidP="00314B08">
      <w:pPr>
        <w:tabs>
          <w:tab w:val="left" w:pos="360"/>
        </w:tabs>
        <w:jc w:val="both"/>
      </w:pPr>
      <w:r w:rsidRPr="00686A94">
        <w:rPr>
          <w:rFonts w:cs="Arial"/>
        </w:rPr>
        <w:t>1.</w:t>
      </w:r>
      <w:r w:rsidRPr="00686A94">
        <w:rPr>
          <w:rFonts w:cs="Arial"/>
        </w:rPr>
        <w:tab/>
      </w:r>
      <w:r w:rsidR="00F86F1E" w:rsidRPr="00686A94">
        <w:t xml:space="preserve">If an individual becomes aware of a particular activity or situation that the individual, in good faith, believes may violate federal or state </w:t>
      </w:r>
      <w:r w:rsidR="00867763" w:rsidRPr="00686A94">
        <w:t>law or regulation</w:t>
      </w:r>
      <w:r w:rsidR="001F318A">
        <w:t xml:space="preserve"> </w:t>
      </w:r>
      <w:r w:rsidR="001F318A" w:rsidRPr="001F318A">
        <w:rPr>
          <w:bCs/>
          <w:szCs w:val="24"/>
        </w:rPr>
        <w:t>or [</w:t>
      </w:r>
      <w:r w:rsidR="001F318A" w:rsidRPr="001F318A">
        <w:rPr>
          <w:bCs/>
          <w:i/>
          <w:szCs w:val="24"/>
        </w:rPr>
        <w:t>Health Center Name</w:t>
      </w:r>
      <w:r w:rsidR="001F318A" w:rsidRPr="001F318A">
        <w:rPr>
          <w:bCs/>
          <w:szCs w:val="24"/>
        </w:rPr>
        <w:t>]’s Standards of Conduct, Corporate Compliance Plan or policies and procedures</w:t>
      </w:r>
      <w:r w:rsidR="001F318A">
        <w:rPr>
          <w:bCs/>
          <w:szCs w:val="24"/>
        </w:rPr>
        <w:t xml:space="preserve">, </w:t>
      </w:r>
      <w:r w:rsidR="00F86F1E" w:rsidRPr="00686A94">
        <w:t xml:space="preserve">then the individual has a duty to report that </w:t>
      </w:r>
      <w:r w:rsidR="00F86F1E" w:rsidRPr="001F318A">
        <w:rPr>
          <w:szCs w:val="24"/>
        </w:rPr>
        <w:t xml:space="preserve">question or </w:t>
      </w:r>
      <w:r w:rsidR="001F318A" w:rsidRPr="001F318A">
        <w:rPr>
          <w:szCs w:val="24"/>
        </w:rPr>
        <w:t xml:space="preserve">concern in accordance with </w:t>
      </w:r>
      <w:r w:rsidR="001F318A" w:rsidRPr="001F318A">
        <w:rPr>
          <w:bCs/>
          <w:szCs w:val="24"/>
        </w:rPr>
        <w:t>[</w:t>
      </w:r>
      <w:r w:rsidR="001F318A" w:rsidRPr="001F318A">
        <w:rPr>
          <w:bCs/>
          <w:i/>
          <w:szCs w:val="24"/>
        </w:rPr>
        <w:t>Health Center Name</w:t>
      </w:r>
      <w:r w:rsidR="001F318A" w:rsidRPr="001F318A">
        <w:rPr>
          <w:bCs/>
          <w:szCs w:val="24"/>
        </w:rPr>
        <w:t xml:space="preserve">]’s </w:t>
      </w:r>
      <w:r w:rsidR="00F86F1E" w:rsidRPr="001F318A">
        <w:rPr>
          <w:szCs w:val="24"/>
        </w:rPr>
        <w:t>[</w:t>
      </w:r>
      <w:r w:rsidR="00F86F1E" w:rsidRPr="001F318A">
        <w:rPr>
          <w:i/>
          <w:szCs w:val="24"/>
        </w:rPr>
        <w:t>Reporting</w:t>
      </w:r>
      <w:r w:rsidR="003F77E4" w:rsidRPr="001F318A">
        <w:rPr>
          <w:i/>
          <w:szCs w:val="24"/>
        </w:rPr>
        <w:t xml:space="preserve"> instances of non-compliance p</w:t>
      </w:r>
      <w:r w:rsidR="00F86F1E" w:rsidRPr="001F318A">
        <w:rPr>
          <w:i/>
          <w:szCs w:val="24"/>
        </w:rPr>
        <w:t>olicy</w:t>
      </w:r>
      <w:r w:rsidR="00F86F1E" w:rsidRPr="001F318A">
        <w:rPr>
          <w:szCs w:val="24"/>
        </w:rPr>
        <w:t>].</w:t>
      </w:r>
      <w:r w:rsidR="00F86F1E" w:rsidRPr="00686A94">
        <w:t xml:space="preserve"> </w:t>
      </w:r>
    </w:p>
    <w:p w:rsidR="00211D6C" w:rsidRDefault="00211D6C" w:rsidP="00314B08">
      <w:pPr>
        <w:tabs>
          <w:tab w:val="left" w:pos="360"/>
        </w:tabs>
        <w:ind w:right="-115"/>
        <w:jc w:val="both"/>
        <w:rPr>
          <w:rFonts w:cs="Arial"/>
        </w:rPr>
      </w:pPr>
    </w:p>
    <w:p w:rsidR="00B832E8" w:rsidRPr="00686A94" w:rsidRDefault="00F86F1E" w:rsidP="00314B08">
      <w:pPr>
        <w:tabs>
          <w:tab w:val="left" w:pos="360"/>
        </w:tabs>
        <w:ind w:right="-115"/>
        <w:jc w:val="both"/>
        <w:rPr>
          <w:rFonts w:cs="Arial"/>
        </w:rPr>
      </w:pPr>
      <w:r w:rsidRPr="00686A94">
        <w:rPr>
          <w:rFonts w:cs="Arial"/>
        </w:rPr>
        <w:t>2.</w:t>
      </w:r>
      <w:r w:rsidRPr="00686A94">
        <w:rPr>
          <w:rFonts w:cs="Arial"/>
        </w:rPr>
        <w:tab/>
      </w:r>
      <w:r w:rsidR="001F318A" w:rsidRPr="001F318A">
        <w:rPr>
          <w:bCs/>
          <w:szCs w:val="24"/>
        </w:rPr>
        <w:t>[</w:t>
      </w:r>
      <w:r w:rsidR="001F318A" w:rsidRPr="001F318A">
        <w:rPr>
          <w:bCs/>
          <w:i/>
          <w:szCs w:val="24"/>
        </w:rPr>
        <w:t>Health Center Name</w:t>
      </w:r>
      <w:r w:rsidR="001F318A" w:rsidRPr="001F318A">
        <w:rPr>
          <w:bCs/>
          <w:szCs w:val="24"/>
        </w:rPr>
        <w:t>]</w:t>
      </w:r>
      <w:r w:rsidR="001F318A">
        <w:rPr>
          <w:b/>
          <w:bCs/>
        </w:rPr>
        <w:t xml:space="preserve"> </w:t>
      </w:r>
      <w:r w:rsidR="00C84E50" w:rsidRPr="00686A94">
        <w:rPr>
          <w:rFonts w:cs="Arial"/>
        </w:rPr>
        <w:t xml:space="preserve">will </w:t>
      </w:r>
      <w:r w:rsidR="00306907" w:rsidRPr="00686A94">
        <w:rPr>
          <w:rFonts w:cs="Arial"/>
        </w:rPr>
        <w:t>not take any retaliatory actions</w:t>
      </w:r>
      <w:r w:rsidR="00C84E50" w:rsidRPr="00686A94">
        <w:rPr>
          <w:rFonts w:cs="Arial"/>
        </w:rPr>
        <w:t xml:space="preserve"> against any individual who, in good faith,</w:t>
      </w:r>
      <w:r w:rsidR="00301CC2" w:rsidRPr="00686A94">
        <w:rPr>
          <w:rFonts w:cs="Arial"/>
        </w:rPr>
        <w:t xml:space="preserve"> raises questions or concerns</w:t>
      </w:r>
      <w:r w:rsidR="00867763" w:rsidRPr="00686A94">
        <w:rPr>
          <w:rFonts w:cs="Arial"/>
        </w:rPr>
        <w:t xml:space="preserve"> about Health Center</w:t>
      </w:r>
      <w:r w:rsidR="00301CC2" w:rsidRPr="00686A94">
        <w:rPr>
          <w:rFonts w:cs="Arial"/>
        </w:rPr>
        <w:t>’s compliance with feder</w:t>
      </w:r>
      <w:r w:rsidR="001F318A">
        <w:rPr>
          <w:rFonts w:cs="Arial"/>
        </w:rPr>
        <w:t>al or state law or regulation</w:t>
      </w:r>
      <w:r w:rsidR="001F318A">
        <w:t xml:space="preserve"> </w:t>
      </w:r>
      <w:r w:rsidR="001F318A" w:rsidRPr="001F318A">
        <w:rPr>
          <w:bCs/>
          <w:szCs w:val="24"/>
        </w:rPr>
        <w:t>or [</w:t>
      </w:r>
      <w:r w:rsidR="001F318A" w:rsidRPr="001F318A">
        <w:rPr>
          <w:bCs/>
          <w:i/>
          <w:szCs w:val="24"/>
        </w:rPr>
        <w:t>Health Center Name</w:t>
      </w:r>
      <w:r w:rsidR="001F318A" w:rsidRPr="001F318A">
        <w:rPr>
          <w:bCs/>
          <w:szCs w:val="24"/>
        </w:rPr>
        <w:t>]’s Standards of Conduct, Corporate Compliance Plan or policies and procedures</w:t>
      </w:r>
      <w:r w:rsidR="001F318A">
        <w:rPr>
          <w:bCs/>
          <w:szCs w:val="24"/>
        </w:rPr>
        <w:t>.</w:t>
      </w:r>
    </w:p>
    <w:p w:rsidR="005A0F4F" w:rsidRPr="00686A94" w:rsidRDefault="003F55EF" w:rsidP="00314B08">
      <w:pPr>
        <w:tabs>
          <w:tab w:val="left" w:pos="360"/>
        </w:tabs>
        <w:ind w:right="-115"/>
        <w:jc w:val="both"/>
        <w:rPr>
          <w:rFonts w:cs="Arial"/>
        </w:rPr>
      </w:pPr>
      <w:r w:rsidRPr="00686A94">
        <w:rPr>
          <w:rFonts w:cs="Arial"/>
        </w:rPr>
        <w:t xml:space="preserve"> </w:t>
      </w:r>
    </w:p>
    <w:p w:rsidR="005A0F4F" w:rsidRPr="00686A94" w:rsidRDefault="00AD7DC1" w:rsidP="00314B08">
      <w:pPr>
        <w:tabs>
          <w:tab w:val="left" w:pos="360"/>
        </w:tabs>
        <w:ind w:right="-115"/>
        <w:jc w:val="both"/>
        <w:rPr>
          <w:rFonts w:cs="Arial"/>
        </w:rPr>
      </w:pPr>
      <w:r w:rsidRPr="00686A94">
        <w:rPr>
          <w:rFonts w:cs="Arial"/>
        </w:rPr>
        <w:t>3</w:t>
      </w:r>
      <w:r w:rsidR="005A0F4F" w:rsidRPr="00686A94">
        <w:rPr>
          <w:rFonts w:cs="Arial"/>
        </w:rPr>
        <w:t>.</w:t>
      </w:r>
      <w:r w:rsidR="005A0F4F" w:rsidRPr="00686A94">
        <w:rPr>
          <w:rFonts w:cs="Arial"/>
        </w:rPr>
        <w:tab/>
      </w:r>
      <w:r w:rsidR="00150001" w:rsidRPr="00686A94">
        <w:rPr>
          <w:rFonts w:cs="Arial"/>
        </w:rPr>
        <w:t xml:space="preserve">If an individual believes that he/she has been subject to any </w:t>
      </w:r>
      <w:r w:rsidR="000317DE" w:rsidRPr="00686A94">
        <w:rPr>
          <w:rFonts w:cs="Arial"/>
        </w:rPr>
        <w:t>retaliation</w:t>
      </w:r>
      <w:r w:rsidR="00150001" w:rsidRPr="00686A94">
        <w:rPr>
          <w:rFonts w:cs="Arial"/>
        </w:rPr>
        <w:t xml:space="preserve"> that violates this policy, he/she may file a complaint with the Office of Corporate Compliance, the Human Resources Department, or through the Compliance Hotline</w:t>
      </w:r>
      <w:r w:rsidR="00867763" w:rsidRPr="00686A94">
        <w:rPr>
          <w:rFonts w:cs="Arial"/>
        </w:rPr>
        <w:t xml:space="preserve"> for investigation</w:t>
      </w:r>
      <w:r w:rsidR="00B757C8" w:rsidRPr="00686A94">
        <w:t xml:space="preserve"> [</w:t>
      </w:r>
      <w:r w:rsidR="00867763" w:rsidRPr="00686A94">
        <w:rPr>
          <w:rFonts w:cs="Arial"/>
          <w:i/>
        </w:rPr>
        <w:t>o</w:t>
      </w:r>
      <w:r w:rsidR="00B757C8" w:rsidRPr="00686A94">
        <w:rPr>
          <w:rFonts w:cs="Arial"/>
          <w:i/>
        </w:rPr>
        <w:t xml:space="preserve">r through the </w:t>
      </w:r>
      <w:r w:rsidR="00B114E2">
        <w:rPr>
          <w:rFonts w:cs="Arial"/>
          <w:i/>
        </w:rPr>
        <w:t xml:space="preserve">established </w:t>
      </w:r>
      <w:r w:rsidR="00B757C8" w:rsidRPr="00686A94">
        <w:rPr>
          <w:rFonts w:cs="Arial"/>
          <w:i/>
        </w:rPr>
        <w:t>reportin</w:t>
      </w:r>
      <w:r w:rsidR="00867763" w:rsidRPr="00686A94">
        <w:rPr>
          <w:rFonts w:cs="Arial"/>
          <w:i/>
        </w:rPr>
        <w:t>g structure</w:t>
      </w:r>
      <w:r w:rsidR="00B757C8" w:rsidRPr="00686A94">
        <w:rPr>
          <w:rFonts w:cs="Arial"/>
        </w:rPr>
        <w:t>].</w:t>
      </w:r>
      <w:r w:rsidR="00AD25FE" w:rsidRPr="00686A94">
        <w:rPr>
          <w:rFonts w:cs="Arial"/>
        </w:rPr>
        <w:t xml:space="preserve"> </w:t>
      </w:r>
      <w:r w:rsidR="00C30D96" w:rsidRPr="00686A94">
        <w:rPr>
          <w:rFonts w:cs="Arial"/>
        </w:rPr>
        <w:t xml:space="preserve">Examples of retaliation include, but are not limited to, </w:t>
      </w:r>
      <w:r w:rsidR="000D5DBC" w:rsidRPr="00686A94">
        <w:rPr>
          <w:rFonts w:cs="Arial"/>
        </w:rPr>
        <w:t xml:space="preserve">employment actions such as termination, refusal to hire or denial of a promotion, unjustified negative evaluations, unjustified negative references, threats, harassment or intimidation. </w:t>
      </w:r>
      <w:r w:rsidRPr="00686A94">
        <w:rPr>
          <w:rFonts w:cs="Arial"/>
        </w:rPr>
        <w:t>Individuals also have the right to</w:t>
      </w:r>
      <w:r w:rsidR="00B2044B" w:rsidRPr="00686A94">
        <w:rPr>
          <w:rFonts w:cs="Arial"/>
        </w:rPr>
        <w:t xml:space="preserve"> submit the complaint to the U.S. Department of Health and Human Services Office of the In</w:t>
      </w:r>
      <w:r w:rsidR="000A07A6" w:rsidRPr="00686A94">
        <w:rPr>
          <w:rFonts w:cs="Arial"/>
        </w:rPr>
        <w:t xml:space="preserve">spector General or, in the case </w:t>
      </w:r>
      <w:r w:rsidR="008B78B6" w:rsidRPr="00686A94">
        <w:rPr>
          <w:rFonts w:cs="Arial"/>
        </w:rPr>
        <w:t>of HIPAA</w:t>
      </w:r>
      <w:r w:rsidR="000A07A6" w:rsidRPr="00686A94">
        <w:rPr>
          <w:rFonts w:cs="Arial"/>
        </w:rPr>
        <w:t xml:space="preserve">-related retaliation, </w:t>
      </w:r>
      <w:r w:rsidR="00AE2689" w:rsidRPr="00686A94">
        <w:rPr>
          <w:rFonts w:cs="Arial"/>
        </w:rPr>
        <w:t xml:space="preserve">to </w:t>
      </w:r>
      <w:r w:rsidR="000A07A6" w:rsidRPr="00686A94">
        <w:rPr>
          <w:rFonts w:cs="Arial"/>
        </w:rPr>
        <w:t>the U.S. Department of Health and Human Services Office of Civil Rights.</w:t>
      </w:r>
    </w:p>
    <w:p w:rsidR="00B2044B" w:rsidRPr="00686A94" w:rsidRDefault="00B2044B" w:rsidP="00314B08">
      <w:pPr>
        <w:tabs>
          <w:tab w:val="left" w:pos="360"/>
        </w:tabs>
        <w:ind w:right="-115"/>
        <w:jc w:val="both"/>
        <w:rPr>
          <w:rFonts w:cs="Arial"/>
        </w:rPr>
      </w:pPr>
    </w:p>
    <w:p w:rsidR="00B2044B" w:rsidRPr="00686A94" w:rsidRDefault="00855A45" w:rsidP="00314B08">
      <w:pPr>
        <w:tabs>
          <w:tab w:val="left" w:pos="360"/>
        </w:tabs>
        <w:ind w:right="-115"/>
        <w:jc w:val="both"/>
        <w:rPr>
          <w:rFonts w:cs="Arial"/>
        </w:rPr>
      </w:pPr>
      <w:r>
        <w:rPr>
          <w:rFonts w:cs="Arial"/>
        </w:rPr>
        <w:t>4</w:t>
      </w:r>
      <w:r w:rsidR="00B2044B" w:rsidRPr="00686A94">
        <w:rPr>
          <w:rFonts w:cs="Arial"/>
        </w:rPr>
        <w:t>.</w:t>
      </w:r>
      <w:r w:rsidR="00B2044B" w:rsidRPr="00686A94">
        <w:rPr>
          <w:rFonts w:cs="Arial"/>
        </w:rPr>
        <w:tab/>
        <w:t>If</w:t>
      </w:r>
      <w:r w:rsidR="00190CE6" w:rsidRPr="00686A94">
        <w:rPr>
          <w:rFonts w:cs="Arial"/>
        </w:rPr>
        <w:t>,</w:t>
      </w:r>
      <w:r w:rsidR="00B2044B" w:rsidRPr="00686A94">
        <w:rPr>
          <w:rFonts w:cs="Arial"/>
        </w:rPr>
        <w:t xml:space="preserve"> after an </w:t>
      </w:r>
      <w:r w:rsidR="00190CE6" w:rsidRPr="00686A94">
        <w:rPr>
          <w:rFonts w:cs="Arial"/>
        </w:rPr>
        <w:t xml:space="preserve">investigation of </w:t>
      </w:r>
      <w:proofErr w:type="gramStart"/>
      <w:r w:rsidR="00AE2689" w:rsidRPr="00686A94">
        <w:rPr>
          <w:rFonts w:cs="Arial"/>
        </w:rPr>
        <w:t xml:space="preserve">a </w:t>
      </w:r>
      <w:r w:rsidR="00D57B13" w:rsidRPr="00686A94">
        <w:rPr>
          <w:rFonts w:cs="Arial"/>
        </w:rPr>
        <w:t>retaliation</w:t>
      </w:r>
      <w:proofErr w:type="gramEnd"/>
      <w:r w:rsidR="00190CE6" w:rsidRPr="00686A94">
        <w:rPr>
          <w:rFonts w:cs="Arial"/>
        </w:rPr>
        <w:t xml:space="preserve"> claim, </w:t>
      </w:r>
      <w:r w:rsidR="00B114E2" w:rsidRPr="001F318A">
        <w:rPr>
          <w:bCs/>
          <w:szCs w:val="24"/>
        </w:rPr>
        <w:t>[</w:t>
      </w:r>
      <w:r w:rsidR="00B114E2" w:rsidRPr="001F318A">
        <w:rPr>
          <w:bCs/>
          <w:i/>
          <w:szCs w:val="24"/>
        </w:rPr>
        <w:t>Health Center Name</w:t>
      </w:r>
      <w:r w:rsidR="00B114E2" w:rsidRPr="001F318A">
        <w:rPr>
          <w:bCs/>
          <w:szCs w:val="24"/>
        </w:rPr>
        <w:t>]</w:t>
      </w:r>
      <w:r w:rsidR="00190CE6" w:rsidRPr="00686A94">
        <w:rPr>
          <w:rFonts w:cs="Arial"/>
        </w:rPr>
        <w:t xml:space="preserve"> determines </w:t>
      </w:r>
      <w:r w:rsidR="006001B9" w:rsidRPr="00686A94">
        <w:rPr>
          <w:rFonts w:cs="Arial"/>
        </w:rPr>
        <w:t xml:space="preserve">that an individual has </w:t>
      </w:r>
      <w:r w:rsidR="00A30889" w:rsidRPr="00686A94">
        <w:rPr>
          <w:rFonts w:cs="Arial"/>
        </w:rPr>
        <w:t>been the subject of retaliation</w:t>
      </w:r>
      <w:r w:rsidR="006001B9" w:rsidRPr="00686A94">
        <w:rPr>
          <w:rFonts w:cs="Arial"/>
        </w:rPr>
        <w:t>,</w:t>
      </w:r>
      <w:r w:rsidR="00A30889" w:rsidRPr="00686A94">
        <w:rPr>
          <w:rFonts w:cs="Arial"/>
        </w:rPr>
        <w:t xml:space="preserve"> </w:t>
      </w:r>
      <w:r w:rsidR="00B114E2" w:rsidRPr="001F318A">
        <w:rPr>
          <w:bCs/>
          <w:szCs w:val="24"/>
        </w:rPr>
        <w:t>[</w:t>
      </w:r>
      <w:r w:rsidR="00B114E2" w:rsidRPr="001F318A">
        <w:rPr>
          <w:bCs/>
          <w:i/>
          <w:szCs w:val="24"/>
        </w:rPr>
        <w:t>Health Center Name</w:t>
      </w:r>
      <w:r w:rsidR="00B114E2" w:rsidRPr="001F318A">
        <w:rPr>
          <w:bCs/>
          <w:szCs w:val="24"/>
        </w:rPr>
        <w:t>]</w:t>
      </w:r>
      <w:r w:rsidR="00A30889" w:rsidRPr="00686A94">
        <w:rPr>
          <w:rFonts w:cs="Arial"/>
        </w:rPr>
        <w:t xml:space="preserve"> will take the appropriate corrective action</w:t>
      </w:r>
      <w:r w:rsidR="002F2887" w:rsidRPr="00686A94">
        <w:rPr>
          <w:rFonts w:cs="Arial"/>
        </w:rPr>
        <w:t xml:space="preserve"> which may</w:t>
      </w:r>
      <w:r w:rsidR="00A30889" w:rsidRPr="00686A94">
        <w:rPr>
          <w:rFonts w:cs="Arial"/>
        </w:rPr>
        <w:t xml:space="preserve"> includ</w:t>
      </w:r>
      <w:r w:rsidR="002F2887" w:rsidRPr="00686A94">
        <w:rPr>
          <w:rFonts w:cs="Arial"/>
        </w:rPr>
        <w:t xml:space="preserve">e </w:t>
      </w:r>
      <w:r w:rsidR="00A30889" w:rsidRPr="00686A94">
        <w:rPr>
          <w:rFonts w:cs="Arial"/>
        </w:rPr>
        <w:t>disciplinary action up to and including termination.</w:t>
      </w:r>
    </w:p>
    <w:p w:rsidR="003F55EF" w:rsidRPr="00686A94" w:rsidRDefault="003F55EF" w:rsidP="00314B08">
      <w:pPr>
        <w:tabs>
          <w:tab w:val="left" w:pos="360"/>
        </w:tabs>
        <w:ind w:right="-115"/>
        <w:jc w:val="both"/>
        <w:rPr>
          <w:rFonts w:cs="Arial"/>
        </w:rPr>
      </w:pPr>
    </w:p>
    <w:p w:rsidR="00B610C0" w:rsidRPr="00686A94" w:rsidRDefault="00E4500E" w:rsidP="00782562">
      <w:pPr>
        <w:ind w:right="-115"/>
        <w:jc w:val="both"/>
        <w:rPr>
          <w:rFonts w:cs="Arial"/>
        </w:rPr>
      </w:pPr>
      <w:proofErr w:type="gramStart"/>
      <w:r w:rsidRPr="00686A94">
        <w:rPr>
          <w:rFonts w:cs="Arial"/>
          <w:b/>
        </w:rPr>
        <w:t>References.</w:t>
      </w:r>
      <w:proofErr w:type="gramEnd"/>
      <w:r w:rsidR="006E2A61" w:rsidRPr="00686A94">
        <w:rPr>
          <w:rFonts w:cs="Arial"/>
        </w:rPr>
        <w:tab/>
      </w:r>
    </w:p>
    <w:p w:rsidR="00AE12CC" w:rsidRPr="00686A94" w:rsidRDefault="00AE12CC" w:rsidP="00782562">
      <w:pPr>
        <w:ind w:right="-115"/>
        <w:jc w:val="both"/>
        <w:rPr>
          <w:rFonts w:cs="Arial"/>
        </w:rPr>
      </w:pPr>
    </w:p>
    <w:p w:rsidR="006E2A61" w:rsidRPr="00686A94" w:rsidRDefault="006E2A61" w:rsidP="00782562">
      <w:pPr>
        <w:ind w:right="-115"/>
        <w:jc w:val="both"/>
        <w:rPr>
          <w:rFonts w:cs="Arial"/>
          <w:u w:val="single"/>
        </w:rPr>
      </w:pPr>
      <w:r w:rsidRPr="00686A94">
        <w:rPr>
          <w:rFonts w:cs="Arial"/>
          <w:u w:val="single"/>
        </w:rPr>
        <w:t>U.S. Federal</w:t>
      </w:r>
      <w:r w:rsidR="00225978" w:rsidRPr="00686A94">
        <w:rPr>
          <w:rFonts w:cs="Arial"/>
          <w:u w:val="single"/>
        </w:rPr>
        <w:t xml:space="preserve"> </w:t>
      </w:r>
      <w:r w:rsidRPr="00686A94">
        <w:rPr>
          <w:rFonts w:cs="Arial"/>
          <w:u w:val="single"/>
        </w:rPr>
        <w:t>False Claims Act (31 USC § 3730(h))</w:t>
      </w:r>
    </w:p>
    <w:p w:rsidR="007F0DE1" w:rsidRPr="00686A94" w:rsidRDefault="007F0DE1" w:rsidP="00782562">
      <w:pPr>
        <w:jc w:val="both"/>
        <w:rPr>
          <w:szCs w:val="24"/>
        </w:rPr>
      </w:pPr>
    </w:p>
    <w:p w:rsidR="007F0DE1" w:rsidRDefault="00AE12CC" w:rsidP="00782562">
      <w:pPr>
        <w:jc w:val="both"/>
        <w:rPr>
          <w:szCs w:val="24"/>
        </w:rPr>
      </w:pPr>
      <w:r w:rsidRPr="00686A94">
        <w:rPr>
          <w:szCs w:val="24"/>
        </w:rPr>
        <w:t>The</w:t>
      </w:r>
      <w:r w:rsidR="009356DD" w:rsidRPr="00686A94">
        <w:rPr>
          <w:szCs w:val="24"/>
        </w:rPr>
        <w:t xml:space="preserve"> Federal </w:t>
      </w:r>
      <w:r w:rsidR="00225978" w:rsidRPr="00686A94">
        <w:rPr>
          <w:szCs w:val="24"/>
        </w:rPr>
        <w:t xml:space="preserve">Civil </w:t>
      </w:r>
      <w:r w:rsidR="009356DD" w:rsidRPr="00686A94">
        <w:rPr>
          <w:szCs w:val="24"/>
        </w:rPr>
        <w:t>False Claims Act (</w:t>
      </w:r>
      <w:proofErr w:type="spellStart"/>
      <w:r w:rsidRPr="00686A94">
        <w:rPr>
          <w:szCs w:val="24"/>
        </w:rPr>
        <w:t>FCA</w:t>
      </w:r>
      <w:proofErr w:type="spellEnd"/>
      <w:r w:rsidR="009356DD" w:rsidRPr="00686A94">
        <w:rPr>
          <w:szCs w:val="24"/>
        </w:rPr>
        <w:t>)</w:t>
      </w:r>
      <w:r w:rsidRPr="00686A94">
        <w:rPr>
          <w:szCs w:val="24"/>
        </w:rPr>
        <w:t xml:space="preserve"> provides that any employee who is subject to retaliation or discrimination by an employer in the terms and conditions of employment because the employee lawfully sought to take action or assist in taking action under this </w:t>
      </w:r>
      <w:r w:rsidR="00225978" w:rsidRPr="00686A94">
        <w:rPr>
          <w:szCs w:val="24"/>
        </w:rPr>
        <w:t>A</w:t>
      </w:r>
      <w:r w:rsidRPr="00686A94">
        <w:rPr>
          <w:szCs w:val="24"/>
        </w:rPr>
        <w:t>ct shall be entitled to all relief necessary to make the employee whole. This includes reinstatement with seniority restored to what it would have been without the retaliatio</w:t>
      </w:r>
      <w:r w:rsidR="00782562">
        <w:rPr>
          <w:szCs w:val="24"/>
        </w:rPr>
        <w:t>n or discrimination, double the</w:t>
      </w:r>
      <w:r w:rsidR="00314B08">
        <w:rPr>
          <w:szCs w:val="24"/>
        </w:rPr>
        <w:t xml:space="preserve"> </w:t>
      </w:r>
      <w:r w:rsidRPr="00686A94">
        <w:rPr>
          <w:szCs w:val="24"/>
        </w:rPr>
        <w:t>amount of back pay, interest on back pay, and compensation for any special damages sustained as a result of the employer’s actions, including litigation costs and reasonable attorney’s fees.</w:t>
      </w:r>
    </w:p>
    <w:p w:rsidR="00BA586A" w:rsidRDefault="00BA586A" w:rsidP="00782562">
      <w:pPr>
        <w:jc w:val="both"/>
        <w:rPr>
          <w:szCs w:val="24"/>
        </w:rPr>
      </w:pPr>
    </w:p>
    <w:p w:rsidR="00BA586A" w:rsidRDefault="00BA586A" w:rsidP="00877754">
      <w:pPr>
        <w:rPr>
          <w:bCs/>
          <w:szCs w:val="24"/>
        </w:rPr>
      </w:pPr>
      <w:r w:rsidRPr="00BA586A">
        <w:rPr>
          <w:bCs/>
          <w:szCs w:val="24"/>
        </w:rPr>
        <w:t>The Federal Civil False Claims Act (“</w:t>
      </w:r>
      <w:proofErr w:type="spellStart"/>
      <w:r w:rsidRPr="00BA586A">
        <w:rPr>
          <w:bCs/>
          <w:szCs w:val="24"/>
        </w:rPr>
        <w:t>FCA</w:t>
      </w:r>
      <w:proofErr w:type="spellEnd"/>
      <w:r w:rsidRPr="00BA586A">
        <w:rPr>
          <w:bCs/>
          <w:szCs w:val="24"/>
        </w:rPr>
        <w:t>”) is a set of federal statutes that, among other things, forbid “knowingly:”</w:t>
      </w:r>
    </w:p>
    <w:p w:rsidR="00877754" w:rsidRPr="00BA586A" w:rsidRDefault="00877754" w:rsidP="00877754">
      <w:pPr>
        <w:ind w:left="360"/>
        <w:rPr>
          <w:bCs/>
          <w:szCs w:val="24"/>
        </w:rPr>
      </w:pPr>
    </w:p>
    <w:p w:rsidR="00BA586A" w:rsidRPr="00BA586A" w:rsidRDefault="00BA586A" w:rsidP="00877754">
      <w:pPr>
        <w:widowControl w:val="0"/>
        <w:numPr>
          <w:ilvl w:val="0"/>
          <w:numId w:val="5"/>
        </w:numPr>
        <w:tabs>
          <w:tab w:val="clear" w:pos="1440"/>
        </w:tabs>
        <w:autoSpaceDE w:val="0"/>
        <w:autoSpaceDN w:val="0"/>
        <w:adjustRightInd w:val="0"/>
        <w:ind w:left="1080"/>
        <w:rPr>
          <w:bCs/>
          <w:szCs w:val="24"/>
        </w:rPr>
      </w:pPr>
      <w:r w:rsidRPr="00BA586A">
        <w:rPr>
          <w:bCs/>
          <w:szCs w:val="24"/>
        </w:rPr>
        <w:t>Presenting or causing the presentation of, a false claim for reimbursement by a Federal health care program, including Medicare or Medicaid;</w:t>
      </w:r>
    </w:p>
    <w:p w:rsidR="00BA586A" w:rsidRPr="00BA586A" w:rsidRDefault="00BA586A" w:rsidP="00877754">
      <w:pPr>
        <w:widowControl w:val="0"/>
        <w:numPr>
          <w:ilvl w:val="0"/>
          <w:numId w:val="5"/>
        </w:numPr>
        <w:tabs>
          <w:tab w:val="clear" w:pos="1440"/>
        </w:tabs>
        <w:autoSpaceDE w:val="0"/>
        <w:autoSpaceDN w:val="0"/>
        <w:adjustRightInd w:val="0"/>
        <w:ind w:left="1080"/>
        <w:rPr>
          <w:bCs/>
          <w:szCs w:val="24"/>
        </w:rPr>
      </w:pPr>
      <w:r w:rsidRPr="00BA586A">
        <w:rPr>
          <w:bCs/>
          <w:szCs w:val="24"/>
        </w:rPr>
        <w:t xml:space="preserve">Making, using or causing to be made or used, a false record or statement material to a false or fraudulent claim; </w:t>
      </w:r>
    </w:p>
    <w:p w:rsidR="00BA586A" w:rsidRPr="00BA586A" w:rsidRDefault="00BA586A" w:rsidP="00877754">
      <w:pPr>
        <w:widowControl w:val="0"/>
        <w:numPr>
          <w:ilvl w:val="0"/>
          <w:numId w:val="5"/>
        </w:numPr>
        <w:tabs>
          <w:tab w:val="clear" w:pos="1440"/>
        </w:tabs>
        <w:autoSpaceDE w:val="0"/>
        <w:autoSpaceDN w:val="0"/>
        <w:adjustRightInd w:val="0"/>
        <w:ind w:left="1080"/>
        <w:rPr>
          <w:bCs/>
          <w:szCs w:val="24"/>
        </w:rPr>
      </w:pPr>
      <w:r w:rsidRPr="00BA586A">
        <w:rPr>
          <w:bCs/>
          <w:szCs w:val="24"/>
        </w:rPr>
        <w:t>Repaying less than what is owed to the government;</w:t>
      </w:r>
    </w:p>
    <w:p w:rsidR="00BA586A" w:rsidRPr="00BA586A" w:rsidRDefault="00BA586A" w:rsidP="00877754">
      <w:pPr>
        <w:widowControl w:val="0"/>
        <w:numPr>
          <w:ilvl w:val="0"/>
          <w:numId w:val="5"/>
        </w:numPr>
        <w:tabs>
          <w:tab w:val="clear" w:pos="1440"/>
        </w:tabs>
        <w:autoSpaceDE w:val="0"/>
        <w:autoSpaceDN w:val="0"/>
        <w:adjustRightInd w:val="0"/>
        <w:ind w:left="1080"/>
        <w:rPr>
          <w:bCs/>
          <w:szCs w:val="24"/>
        </w:rPr>
      </w:pPr>
      <w:r w:rsidRPr="00BA586A">
        <w:rPr>
          <w:bCs/>
          <w:szCs w:val="24"/>
        </w:rPr>
        <w:t xml:space="preserve">Making, using or causing to be made or used, a false record or statement material to reducing or avoiding repayment to the government; </w:t>
      </w:r>
    </w:p>
    <w:p w:rsidR="00BA586A" w:rsidRPr="00BA586A" w:rsidRDefault="00BA586A" w:rsidP="00877754">
      <w:pPr>
        <w:numPr>
          <w:ilvl w:val="0"/>
          <w:numId w:val="5"/>
        </w:numPr>
        <w:tabs>
          <w:tab w:val="clear" w:pos="1440"/>
        </w:tabs>
        <w:ind w:left="1080"/>
        <w:rPr>
          <w:szCs w:val="24"/>
        </w:rPr>
      </w:pPr>
      <w:r w:rsidRPr="00BA586A">
        <w:rPr>
          <w:szCs w:val="24"/>
        </w:rPr>
        <w:lastRenderedPageBreak/>
        <w:t>Avoiding or decreasing an obligation to pay or transmit money or property to the government and/or;</w:t>
      </w:r>
    </w:p>
    <w:p w:rsidR="00BA586A" w:rsidRPr="00BA586A" w:rsidRDefault="00BA586A" w:rsidP="00877754">
      <w:pPr>
        <w:widowControl w:val="0"/>
        <w:numPr>
          <w:ilvl w:val="0"/>
          <w:numId w:val="5"/>
        </w:numPr>
        <w:tabs>
          <w:tab w:val="clear" w:pos="1440"/>
        </w:tabs>
        <w:autoSpaceDE w:val="0"/>
        <w:autoSpaceDN w:val="0"/>
        <w:adjustRightInd w:val="0"/>
        <w:ind w:left="1080"/>
        <w:rPr>
          <w:bCs/>
          <w:szCs w:val="24"/>
        </w:rPr>
      </w:pPr>
      <w:r w:rsidRPr="00BA586A">
        <w:rPr>
          <w:bCs/>
          <w:szCs w:val="24"/>
        </w:rPr>
        <w:t>Conspiring to defraud the federal government through one of the actions listed above.</w:t>
      </w:r>
    </w:p>
    <w:p w:rsidR="00BA586A" w:rsidRPr="00BA586A" w:rsidRDefault="00BA586A" w:rsidP="00BA586A">
      <w:pPr>
        <w:tabs>
          <w:tab w:val="left" w:pos="720"/>
        </w:tabs>
        <w:rPr>
          <w:bCs/>
          <w:szCs w:val="24"/>
        </w:rPr>
      </w:pPr>
    </w:p>
    <w:p w:rsidR="00BA586A" w:rsidRPr="00BA586A" w:rsidRDefault="00BA586A" w:rsidP="00877754">
      <w:pPr>
        <w:tabs>
          <w:tab w:val="left" w:pos="-90"/>
        </w:tabs>
        <w:rPr>
          <w:bCs/>
          <w:szCs w:val="24"/>
        </w:rPr>
      </w:pPr>
      <w:r w:rsidRPr="00BA586A">
        <w:rPr>
          <w:bCs/>
          <w:szCs w:val="24"/>
        </w:rPr>
        <w:t xml:space="preserve">The U.S. Attorney General may bring an action under this law. In addition, the law provides that any “whistleblower” may bring an action under this act on his or </w:t>
      </w:r>
      <w:proofErr w:type="gramStart"/>
      <w:r w:rsidRPr="00BA586A">
        <w:rPr>
          <w:bCs/>
          <w:szCs w:val="24"/>
        </w:rPr>
        <w:t>her own</w:t>
      </w:r>
      <w:proofErr w:type="gramEnd"/>
      <w:r w:rsidRPr="00BA586A">
        <w:rPr>
          <w:bCs/>
          <w:szCs w:val="24"/>
        </w:rPr>
        <w:t xml:space="preserve"> behalf and for the United States Government. </w:t>
      </w:r>
      <w:r w:rsidRPr="00BA586A">
        <w:rPr>
          <w:bCs/>
          <w:szCs w:val="24"/>
        </w:rPr>
        <w:tab/>
      </w:r>
    </w:p>
    <w:p w:rsidR="00877754" w:rsidRDefault="00877754" w:rsidP="00877754">
      <w:pPr>
        <w:tabs>
          <w:tab w:val="left" w:pos="720"/>
        </w:tabs>
        <w:rPr>
          <w:bCs/>
          <w:szCs w:val="24"/>
        </w:rPr>
      </w:pPr>
    </w:p>
    <w:p w:rsidR="00BA586A" w:rsidRPr="00BA586A" w:rsidRDefault="00BA586A" w:rsidP="00877754">
      <w:pPr>
        <w:tabs>
          <w:tab w:val="left" w:pos="720"/>
        </w:tabs>
        <w:rPr>
          <w:bCs/>
          <w:szCs w:val="24"/>
        </w:rPr>
      </w:pPr>
      <w:r w:rsidRPr="00BA586A">
        <w:rPr>
          <w:bCs/>
          <w:szCs w:val="24"/>
        </w:rPr>
        <w:t xml:space="preserve">These actions, which must be filed in U.S. District Court, are known as “qui tam” actions. The Federal Government, after reviewing the complaint and supporting evidence, may decide either to take over the action, or decline to do so, in which case the whistleblower may conduct the action. If either the Federal Government or the whistleblower is successful, the whistleblower is entitled to receive a percentage of the recovery. If prosecuted by the Federal Government, these qui tam actions are generally handled by </w:t>
      </w:r>
      <w:proofErr w:type="gramStart"/>
      <w:r w:rsidRPr="00BA586A">
        <w:rPr>
          <w:bCs/>
          <w:szCs w:val="24"/>
        </w:rPr>
        <w:t>various U.S. Attorney’s</w:t>
      </w:r>
      <w:proofErr w:type="gramEnd"/>
      <w:r w:rsidRPr="00BA586A">
        <w:rPr>
          <w:bCs/>
          <w:szCs w:val="24"/>
        </w:rPr>
        <w:t xml:space="preserve"> Offices or by the U.S. Justice Department.</w:t>
      </w:r>
    </w:p>
    <w:p w:rsidR="00877754" w:rsidRDefault="00877754" w:rsidP="00877754">
      <w:pPr>
        <w:jc w:val="both"/>
        <w:rPr>
          <w:bCs/>
          <w:szCs w:val="24"/>
        </w:rPr>
      </w:pPr>
    </w:p>
    <w:p w:rsidR="00BA586A" w:rsidRPr="00BA586A" w:rsidRDefault="00BA586A" w:rsidP="00877754">
      <w:pPr>
        <w:jc w:val="both"/>
        <w:rPr>
          <w:rFonts w:cs="Arial"/>
          <w:szCs w:val="24"/>
        </w:rPr>
      </w:pPr>
      <w:r w:rsidRPr="00BA586A">
        <w:rPr>
          <w:bCs/>
          <w:szCs w:val="24"/>
        </w:rPr>
        <w:t xml:space="preserve">Penalties for violations of the </w:t>
      </w:r>
      <w:proofErr w:type="spellStart"/>
      <w:r w:rsidRPr="00BA586A">
        <w:rPr>
          <w:bCs/>
          <w:szCs w:val="24"/>
        </w:rPr>
        <w:t>FCA</w:t>
      </w:r>
      <w:proofErr w:type="spellEnd"/>
      <w:r w:rsidRPr="00BA586A">
        <w:rPr>
          <w:bCs/>
          <w:szCs w:val="24"/>
        </w:rPr>
        <w:t xml:space="preserve"> include fines from $5,500 to $11,000 per false claim, payment of treble damages (</w:t>
      </w:r>
      <w:r w:rsidRPr="00BA586A">
        <w:rPr>
          <w:bCs/>
          <w:i/>
          <w:szCs w:val="24"/>
        </w:rPr>
        <w:t>i.e.</w:t>
      </w:r>
      <w:r w:rsidRPr="00BA586A">
        <w:rPr>
          <w:bCs/>
          <w:szCs w:val="24"/>
        </w:rPr>
        <w:t>, three times the amount of damages sustained by the government due to the violation), and exclusion from participation in federal health care programs such as Medicare or Medicaid.</w:t>
      </w:r>
    </w:p>
    <w:p w:rsidR="009D6CCB" w:rsidRPr="00686A94" w:rsidRDefault="009D6CCB" w:rsidP="00782562">
      <w:pPr>
        <w:ind w:right="-115"/>
        <w:jc w:val="both"/>
        <w:rPr>
          <w:szCs w:val="24"/>
        </w:rPr>
      </w:pPr>
    </w:p>
    <w:p w:rsidR="009D6CCB" w:rsidRPr="00686A94" w:rsidRDefault="009D6CCB" w:rsidP="00782562">
      <w:pPr>
        <w:ind w:right="-115"/>
        <w:jc w:val="both"/>
        <w:rPr>
          <w:szCs w:val="24"/>
        </w:rPr>
      </w:pPr>
      <w:r w:rsidRPr="00686A94">
        <w:rPr>
          <w:szCs w:val="24"/>
        </w:rPr>
        <w:t>[</w:t>
      </w:r>
      <w:r w:rsidRPr="00686A94">
        <w:rPr>
          <w:i/>
          <w:szCs w:val="24"/>
        </w:rPr>
        <w:t>I</w:t>
      </w:r>
      <w:r w:rsidR="009E741D" w:rsidRPr="00686A94">
        <w:rPr>
          <w:i/>
          <w:szCs w:val="24"/>
        </w:rPr>
        <w:t xml:space="preserve">nsert similar language re: </w:t>
      </w:r>
      <w:r w:rsidRPr="00686A94">
        <w:rPr>
          <w:i/>
          <w:szCs w:val="24"/>
        </w:rPr>
        <w:t>state’s civil F</w:t>
      </w:r>
      <w:r w:rsidR="008A4D1D" w:rsidRPr="00686A94">
        <w:rPr>
          <w:i/>
          <w:szCs w:val="24"/>
        </w:rPr>
        <w:t xml:space="preserve">alse </w:t>
      </w:r>
      <w:r w:rsidRPr="00686A94">
        <w:rPr>
          <w:i/>
          <w:szCs w:val="24"/>
        </w:rPr>
        <w:t>C</w:t>
      </w:r>
      <w:r w:rsidR="008A4D1D" w:rsidRPr="00686A94">
        <w:rPr>
          <w:i/>
          <w:szCs w:val="24"/>
        </w:rPr>
        <w:t xml:space="preserve">laims </w:t>
      </w:r>
      <w:r w:rsidRPr="00686A94">
        <w:rPr>
          <w:i/>
          <w:szCs w:val="24"/>
        </w:rPr>
        <w:t>A</w:t>
      </w:r>
      <w:r w:rsidR="008A4D1D" w:rsidRPr="00686A94">
        <w:rPr>
          <w:i/>
          <w:szCs w:val="24"/>
        </w:rPr>
        <w:t>ct</w:t>
      </w:r>
      <w:r w:rsidRPr="00686A94">
        <w:rPr>
          <w:i/>
          <w:szCs w:val="24"/>
        </w:rPr>
        <w:t>, if applicable</w:t>
      </w:r>
      <w:r w:rsidRPr="00686A94">
        <w:rPr>
          <w:szCs w:val="24"/>
        </w:rPr>
        <w:t>]</w:t>
      </w:r>
    </w:p>
    <w:p w:rsidR="007F0DE1" w:rsidRPr="00686A94" w:rsidRDefault="007F0DE1" w:rsidP="00782562">
      <w:pPr>
        <w:jc w:val="both"/>
        <w:rPr>
          <w:rFonts w:cs="Arial"/>
        </w:rPr>
      </w:pPr>
    </w:p>
    <w:p w:rsidR="007F0DE1" w:rsidRPr="00686A94" w:rsidRDefault="00037964" w:rsidP="00782562">
      <w:pPr>
        <w:jc w:val="both"/>
        <w:rPr>
          <w:rFonts w:cs="Arial"/>
          <w:u w:val="single"/>
        </w:rPr>
      </w:pPr>
      <w:r w:rsidRPr="00686A94">
        <w:rPr>
          <w:rFonts w:cs="Arial"/>
          <w:u w:val="single"/>
        </w:rPr>
        <w:t>Health Insurance Portability and Accountability Act</w:t>
      </w:r>
      <w:r w:rsidR="00BC665E" w:rsidRPr="00686A94">
        <w:rPr>
          <w:rFonts w:cs="Arial"/>
          <w:u w:val="single"/>
        </w:rPr>
        <w:t xml:space="preserve"> (HIPAA)</w:t>
      </w:r>
      <w:r w:rsidRPr="00686A94">
        <w:rPr>
          <w:rFonts w:cs="Arial"/>
          <w:u w:val="single"/>
        </w:rPr>
        <w:t xml:space="preserve"> (45 CFR Part</w:t>
      </w:r>
      <w:r w:rsidR="003D3695" w:rsidRPr="00686A94">
        <w:rPr>
          <w:rFonts w:cs="Arial"/>
          <w:u w:val="single"/>
        </w:rPr>
        <w:t>s</w:t>
      </w:r>
      <w:r w:rsidRPr="00686A94">
        <w:rPr>
          <w:rFonts w:cs="Arial"/>
          <w:u w:val="single"/>
        </w:rPr>
        <w:t xml:space="preserve"> 16</w:t>
      </w:r>
      <w:r w:rsidR="003D3695" w:rsidRPr="00686A94">
        <w:rPr>
          <w:rFonts w:cs="Arial"/>
          <w:u w:val="single"/>
        </w:rPr>
        <w:t>0 and 164</w:t>
      </w:r>
      <w:r w:rsidRPr="00686A94">
        <w:rPr>
          <w:rFonts w:cs="Arial"/>
          <w:u w:val="single"/>
        </w:rPr>
        <w:t>)</w:t>
      </w:r>
    </w:p>
    <w:p w:rsidR="00037964" w:rsidRPr="00686A94" w:rsidRDefault="00037964" w:rsidP="00782562">
      <w:pPr>
        <w:jc w:val="both"/>
        <w:rPr>
          <w:rFonts w:cs="Arial"/>
          <w:u w:val="single"/>
        </w:rPr>
      </w:pPr>
    </w:p>
    <w:p w:rsidR="00AE12CC" w:rsidRPr="00686A94" w:rsidRDefault="000D284C" w:rsidP="00782562">
      <w:pPr>
        <w:jc w:val="both"/>
        <w:rPr>
          <w:rFonts w:cs="Arial"/>
        </w:rPr>
      </w:pPr>
      <w:r w:rsidRPr="00686A94">
        <w:rPr>
          <w:rFonts w:cs="Arial"/>
        </w:rPr>
        <w:t xml:space="preserve">Employees may not be </w:t>
      </w:r>
      <w:r w:rsidR="00FF575F" w:rsidRPr="00686A94">
        <w:rPr>
          <w:rFonts w:cs="Arial"/>
        </w:rPr>
        <w:t>in</w:t>
      </w:r>
      <w:r w:rsidR="00760107" w:rsidRPr="00686A94">
        <w:rPr>
          <w:rFonts w:cs="Arial"/>
        </w:rPr>
        <w:t xml:space="preserve">timidated, threatened, coerced, discriminated or retaliated against </w:t>
      </w:r>
      <w:r w:rsidR="00E830E1" w:rsidRPr="00686A94">
        <w:rPr>
          <w:rFonts w:cs="Arial"/>
        </w:rPr>
        <w:t xml:space="preserve">for </w:t>
      </w:r>
      <w:r w:rsidR="00BC665E" w:rsidRPr="00686A94">
        <w:rPr>
          <w:rFonts w:cs="Arial"/>
        </w:rPr>
        <w:t xml:space="preserve">(1) </w:t>
      </w:r>
      <w:r w:rsidR="003D3695" w:rsidRPr="00686A94">
        <w:rPr>
          <w:rFonts w:cs="Arial"/>
        </w:rPr>
        <w:t>filing a HIPAA-related complaint with H</w:t>
      </w:r>
      <w:r w:rsidR="00BC665E" w:rsidRPr="00686A94">
        <w:rPr>
          <w:rFonts w:cs="Arial"/>
        </w:rPr>
        <w:t>HS;</w:t>
      </w:r>
      <w:r w:rsidR="009A1EE9" w:rsidRPr="00686A94">
        <w:rPr>
          <w:rFonts w:cs="Arial"/>
        </w:rPr>
        <w:t xml:space="preserve"> (2)</w:t>
      </w:r>
      <w:r w:rsidR="00BC665E" w:rsidRPr="00686A94">
        <w:rPr>
          <w:rFonts w:cs="Arial"/>
        </w:rPr>
        <w:t xml:space="preserve"> testifying, assisting, or participating in an investigation, compliance review, proceeding, or HIPAA-related hearing; or</w:t>
      </w:r>
      <w:r w:rsidR="009A1EE9" w:rsidRPr="00686A94">
        <w:rPr>
          <w:rFonts w:cs="Arial"/>
        </w:rPr>
        <w:t xml:space="preserve"> (3)</w:t>
      </w:r>
      <w:r w:rsidR="00BC665E" w:rsidRPr="00686A94">
        <w:rPr>
          <w:rFonts w:cs="Arial"/>
        </w:rPr>
        <w:t xml:space="preserve"> </w:t>
      </w:r>
      <w:r w:rsidR="009A1EE9" w:rsidRPr="00686A94">
        <w:rPr>
          <w:rFonts w:cs="Arial"/>
        </w:rPr>
        <w:t>o</w:t>
      </w:r>
      <w:r w:rsidR="00BC665E" w:rsidRPr="00686A94">
        <w:rPr>
          <w:rFonts w:cs="Arial"/>
        </w:rPr>
        <w:t>pposing any</w:t>
      </w:r>
      <w:r w:rsidR="009A1EE9" w:rsidRPr="00686A94">
        <w:rPr>
          <w:rFonts w:cs="Arial"/>
        </w:rPr>
        <w:t xml:space="preserve"> unlawful act or practice</w:t>
      </w:r>
      <w:r w:rsidR="00BC665E" w:rsidRPr="00686A94">
        <w:rPr>
          <w:rFonts w:cs="Arial"/>
        </w:rPr>
        <w:t xml:space="preserve">, provided the individual or person has a good faith belief that the practice opposed is unlawful, and the manner of opposition is reasonable and does not involve a disclosure of protected health information in violation of </w:t>
      </w:r>
      <w:r w:rsidR="009A1EE9" w:rsidRPr="00686A94">
        <w:rPr>
          <w:rFonts w:cs="Arial"/>
        </w:rPr>
        <w:t>HIPAA.</w:t>
      </w:r>
    </w:p>
    <w:p w:rsidR="00D432F4" w:rsidRPr="00686A94" w:rsidRDefault="00D432F4" w:rsidP="00782562">
      <w:pPr>
        <w:jc w:val="both"/>
        <w:rPr>
          <w:rFonts w:cs="Arial"/>
        </w:rPr>
      </w:pPr>
    </w:p>
    <w:p w:rsidR="007F0DE1" w:rsidRDefault="00B610C0" w:rsidP="00782562">
      <w:pPr>
        <w:jc w:val="both"/>
        <w:rPr>
          <w:rFonts w:cs="Arial"/>
          <w:u w:val="single"/>
        </w:rPr>
      </w:pPr>
      <w:r w:rsidRPr="00686A94">
        <w:rPr>
          <w:rFonts w:cs="Arial"/>
          <w:u w:val="single"/>
        </w:rPr>
        <w:t>Pilot Program for Enhancement of Contractor Employee Whistleblower Protections (41 USC §</w:t>
      </w:r>
      <w:r w:rsidR="009B229B" w:rsidRPr="00686A94">
        <w:rPr>
          <w:rFonts w:cs="Arial"/>
          <w:u w:val="single"/>
        </w:rPr>
        <w:t xml:space="preserve"> </w:t>
      </w:r>
      <w:r w:rsidRPr="00686A94">
        <w:rPr>
          <w:rFonts w:cs="Arial"/>
          <w:u w:val="single"/>
        </w:rPr>
        <w:t>4712)</w:t>
      </w:r>
      <w:r w:rsidR="00C01442" w:rsidRPr="00686A94">
        <w:rPr>
          <w:rStyle w:val="FootnoteReference"/>
          <w:rFonts w:cs="Arial"/>
          <w:u w:val="single"/>
        </w:rPr>
        <w:footnoteReference w:id="3"/>
      </w:r>
    </w:p>
    <w:p w:rsidR="00425EE2" w:rsidRPr="00686A94" w:rsidRDefault="00425EE2" w:rsidP="00782562">
      <w:pPr>
        <w:jc w:val="both"/>
        <w:rPr>
          <w:szCs w:val="24"/>
        </w:rPr>
      </w:pPr>
    </w:p>
    <w:p w:rsidR="000F25F5" w:rsidRPr="00686A94" w:rsidRDefault="004B150F" w:rsidP="00782562">
      <w:pPr>
        <w:jc w:val="both"/>
        <w:rPr>
          <w:szCs w:val="24"/>
        </w:rPr>
      </w:pPr>
      <w:r w:rsidRPr="00686A94">
        <w:rPr>
          <w:szCs w:val="24"/>
        </w:rPr>
        <w:t xml:space="preserve">Employees </w:t>
      </w:r>
      <w:r w:rsidR="00C43996" w:rsidRPr="00686A94">
        <w:rPr>
          <w:szCs w:val="24"/>
        </w:rPr>
        <w:t>may not be discharged, demoted, or otherwise discriminated against as a reprisal for whistleblowing</w:t>
      </w:r>
      <w:r w:rsidR="000F25F5" w:rsidRPr="00686A94">
        <w:rPr>
          <w:szCs w:val="24"/>
        </w:rPr>
        <w:t xml:space="preserve">. Whistleblowing involves an employee making a </w:t>
      </w:r>
      <w:r w:rsidR="00426926" w:rsidRPr="00686A94">
        <w:rPr>
          <w:szCs w:val="24"/>
        </w:rPr>
        <w:t xml:space="preserve">report </w:t>
      </w:r>
      <w:r w:rsidR="000F25F5" w:rsidRPr="00686A94">
        <w:rPr>
          <w:szCs w:val="24"/>
        </w:rPr>
        <w:t xml:space="preserve">that he or she reasonably believes is evidence of any of the following: </w:t>
      </w:r>
    </w:p>
    <w:p w:rsidR="000F25F5" w:rsidRPr="00686A94" w:rsidRDefault="000F25F5" w:rsidP="00782562">
      <w:pPr>
        <w:pStyle w:val="ListParagraph"/>
        <w:jc w:val="both"/>
        <w:rPr>
          <w:szCs w:val="24"/>
        </w:rPr>
      </w:pPr>
    </w:p>
    <w:p w:rsidR="000F25F5" w:rsidRPr="00686A94" w:rsidRDefault="000F25F5" w:rsidP="00782562">
      <w:pPr>
        <w:pStyle w:val="ListParagraph"/>
        <w:numPr>
          <w:ilvl w:val="1"/>
          <w:numId w:val="2"/>
        </w:numPr>
        <w:jc w:val="both"/>
        <w:rPr>
          <w:szCs w:val="24"/>
        </w:rPr>
      </w:pPr>
      <w:r w:rsidRPr="00686A94">
        <w:rPr>
          <w:szCs w:val="24"/>
        </w:rPr>
        <w:t xml:space="preserve">Gross mismanagement of a federal grant or contract; </w:t>
      </w:r>
    </w:p>
    <w:p w:rsidR="000F25F5" w:rsidRPr="00686A94" w:rsidRDefault="000F25F5" w:rsidP="00782562">
      <w:pPr>
        <w:pStyle w:val="ListParagraph"/>
        <w:numPr>
          <w:ilvl w:val="1"/>
          <w:numId w:val="2"/>
        </w:numPr>
        <w:jc w:val="both"/>
        <w:rPr>
          <w:szCs w:val="24"/>
        </w:rPr>
      </w:pPr>
      <w:r w:rsidRPr="00686A94">
        <w:rPr>
          <w:szCs w:val="24"/>
        </w:rPr>
        <w:lastRenderedPageBreak/>
        <w:t xml:space="preserve">A gross waste of federal funds; </w:t>
      </w:r>
    </w:p>
    <w:p w:rsidR="000F25F5" w:rsidRPr="00686A94" w:rsidRDefault="000F25F5" w:rsidP="00782562">
      <w:pPr>
        <w:pStyle w:val="ListParagraph"/>
        <w:numPr>
          <w:ilvl w:val="1"/>
          <w:numId w:val="2"/>
        </w:numPr>
        <w:jc w:val="both"/>
        <w:rPr>
          <w:szCs w:val="24"/>
        </w:rPr>
      </w:pPr>
      <w:r w:rsidRPr="00686A94">
        <w:rPr>
          <w:szCs w:val="24"/>
        </w:rPr>
        <w:t xml:space="preserve">An abuse of authority relating to a federal grant or contract; </w:t>
      </w:r>
    </w:p>
    <w:p w:rsidR="000F25F5" w:rsidRPr="00686A94" w:rsidRDefault="000F25F5" w:rsidP="00782562">
      <w:pPr>
        <w:pStyle w:val="ListParagraph"/>
        <w:numPr>
          <w:ilvl w:val="1"/>
          <w:numId w:val="2"/>
        </w:numPr>
        <w:jc w:val="both"/>
        <w:rPr>
          <w:szCs w:val="24"/>
        </w:rPr>
      </w:pPr>
      <w:r w:rsidRPr="00686A94">
        <w:rPr>
          <w:szCs w:val="24"/>
        </w:rPr>
        <w:t xml:space="preserve">A substantial and specific danger to public health or safety; or </w:t>
      </w:r>
    </w:p>
    <w:p w:rsidR="00D432F4" w:rsidRPr="00686A94" w:rsidRDefault="000F25F5" w:rsidP="00782562">
      <w:pPr>
        <w:pStyle w:val="ListParagraph"/>
        <w:numPr>
          <w:ilvl w:val="1"/>
          <w:numId w:val="2"/>
        </w:numPr>
        <w:jc w:val="both"/>
        <w:rPr>
          <w:szCs w:val="24"/>
        </w:rPr>
      </w:pPr>
      <w:r w:rsidRPr="00686A94">
        <w:rPr>
          <w:szCs w:val="24"/>
        </w:rPr>
        <w:t xml:space="preserve">A violation of law, rule, or regulation related to a federal grant or contract (including the competition for, or negotiation of, a grant or contract). </w:t>
      </w:r>
    </w:p>
    <w:p w:rsidR="006E2A61" w:rsidRPr="00686A94" w:rsidRDefault="006E2A61" w:rsidP="00782562">
      <w:pPr>
        <w:ind w:right="-115"/>
        <w:jc w:val="both"/>
        <w:rPr>
          <w:rFonts w:cs="Arial"/>
          <w:b/>
        </w:rPr>
      </w:pPr>
    </w:p>
    <w:p w:rsidR="00D432F4" w:rsidRPr="00686A94" w:rsidRDefault="00D432F4" w:rsidP="00782562">
      <w:pPr>
        <w:ind w:right="-115"/>
        <w:jc w:val="both"/>
        <w:rPr>
          <w:rFonts w:cs="Arial"/>
          <w:b/>
        </w:rPr>
      </w:pPr>
      <w:r w:rsidRPr="00686A94">
        <w:rPr>
          <w:rFonts w:cs="Arial"/>
          <w:b/>
        </w:rPr>
        <w:t>This policy is not a contract of employment and does not create any rights or expectations regarding continued employment</w:t>
      </w:r>
      <w:r w:rsidR="009E741D" w:rsidRPr="00686A94">
        <w:rPr>
          <w:rFonts w:cs="Arial"/>
          <w:b/>
        </w:rPr>
        <w:t xml:space="preserve"> with </w:t>
      </w:r>
      <w:r w:rsidR="009E741D" w:rsidRPr="00B114E2">
        <w:rPr>
          <w:rFonts w:cs="Arial"/>
          <w:b/>
        </w:rPr>
        <w:t xml:space="preserve">any </w:t>
      </w:r>
      <w:r w:rsidR="00B114E2" w:rsidRPr="00B114E2">
        <w:rPr>
          <w:b/>
          <w:bCs/>
          <w:szCs w:val="24"/>
        </w:rPr>
        <w:t>[</w:t>
      </w:r>
      <w:r w:rsidR="00B114E2" w:rsidRPr="00B114E2">
        <w:rPr>
          <w:b/>
          <w:bCs/>
          <w:i/>
          <w:szCs w:val="24"/>
        </w:rPr>
        <w:t>Health Center Name</w:t>
      </w:r>
      <w:r w:rsidR="00B114E2" w:rsidRPr="00B114E2">
        <w:rPr>
          <w:b/>
          <w:bCs/>
          <w:szCs w:val="24"/>
        </w:rPr>
        <w:t>]</w:t>
      </w:r>
      <w:r w:rsidR="00B114E2">
        <w:rPr>
          <w:bCs/>
          <w:szCs w:val="24"/>
        </w:rPr>
        <w:t xml:space="preserve"> </w:t>
      </w:r>
      <w:r w:rsidR="006510E1" w:rsidRPr="00686A94">
        <w:rPr>
          <w:rFonts w:cs="Arial"/>
          <w:b/>
        </w:rPr>
        <w:t xml:space="preserve">employees who are </w:t>
      </w:r>
      <w:proofErr w:type="gramStart"/>
      <w:r w:rsidR="006510E1" w:rsidRPr="00686A94">
        <w:rPr>
          <w:rFonts w:cs="Arial"/>
          <w:b/>
        </w:rPr>
        <w:t>employees</w:t>
      </w:r>
      <w:proofErr w:type="gramEnd"/>
      <w:r w:rsidR="006510E1" w:rsidRPr="00686A94">
        <w:rPr>
          <w:rFonts w:cs="Arial"/>
          <w:b/>
        </w:rPr>
        <w:t xml:space="preserve"> at-will. </w:t>
      </w:r>
    </w:p>
    <w:p w:rsidR="006E2A61" w:rsidRPr="00686A94" w:rsidRDefault="006E2A61" w:rsidP="00782562">
      <w:pPr>
        <w:ind w:right="-115"/>
        <w:jc w:val="both"/>
        <w:rPr>
          <w:rFonts w:cs="Arial"/>
          <w:b/>
        </w:rPr>
      </w:pPr>
    </w:p>
    <w:p w:rsidR="00E4500E" w:rsidRPr="00686A94" w:rsidRDefault="00E4500E" w:rsidP="00E8671C">
      <w:pPr>
        <w:keepLines/>
        <w:jc w:val="both"/>
        <w:rPr>
          <w:b/>
        </w:rPr>
      </w:pPr>
      <w:r w:rsidRPr="00686A94">
        <w:rPr>
          <w:b/>
        </w:rPr>
        <w:t>This policy and procedure shall be periodically reviewed and updated consistent with the requirements and standards established by t</w:t>
      </w:r>
      <w:r w:rsidR="003E2173" w:rsidRPr="00686A94">
        <w:rPr>
          <w:b/>
        </w:rPr>
        <w:t xml:space="preserve">he Board of Directors and management, </w:t>
      </w:r>
      <w:r w:rsidRPr="00686A94">
        <w:rPr>
          <w:b/>
        </w:rPr>
        <w:t xml:space="preserve">federal </w:t>
      </w:r>
      <w:r w:rsidR="003E2173" w:rsidRPr="00686A94">
        <w:rPr>
          <w:b/>
        </w:rPr>
        <w:t>and state laws and regulations, and applicable accrediting and review organizations.</w:t>
      </w:r>
    </w:p>
    <w:p w:rsidR="00E4500E" w:rsidRPr="00686A94" w:rsidRDefault="00E4500E" w:rsidP="00782562">
      <w:pPr>
        <w:jc w:val="both"/>
      </w:pPr>
    </w:p>
    <w:p w:rsidR="00E4500E" w:rsidRPr="00686A94" w:rsidRDefault="00AE2689" w:rsidP="00782562">
      <w:pPr>
        <w:jc w:val="both"/>
        <w:rPr>
          <w:b/>
        </w:rPr>
      </w:pPr>
      <w:r w:rsidRPr="00686A94">
        <w:rPr>
          <w:b/>
        </w:rPr>
        <w:t>Responsible p</w:t>
      </w:r>
      <w:r w:rsidR="00E4500E" w:rsidRPr="00686A94">
        <w:rPr>
          <w:b/>
        </w:rPr>
        <w:t>arties:</w:t>
      </w:r>
    </w:p>
    <w:p w:rsidR="00E4500E" w:rsidRPr="00686A94" w:rsidRDefault="00E4500E" w:rsidP="00782562">
      <w:pPr>
        <w:jc w:val="both"/>
        <w:rPr>
          <w:b/>
        </w:rPr>
      </w:pPr>
    </w:p>
    <w:p w:rsidR="003E2173" w:rsidRPr="00686A94" w:rsidRDefault="003E2173" w:rsidP="00782562">
      <w:pPr>
        <w:pStyle w:val="3"/>
        <w:rPr>
          <w:szCs w:val="24"/>
          <w:u w:val="single"/>
        </w:rPr>
      </w:pPr>
      <w:r w:rsidRPr="00686A94">
        <w:rPr>
          <w:szCs w:val="24"/>
          <w:u w:val="single"/>
        </w:rPr>
        <w:t>Signature</w:t>
      </w:r>
      <w:r w:rsidRPr="00686A94">
        <w:rPr>
          <w:szCs w:val="24"/>
          <w:u w:val="single"/>
        </w:rPr>
        <w:tab/>
      </w:r>
      <w:r w:rsidRPr="00686A94">
        <w:rPr>
          <w:szCs w:val="24"/>
          <w:u w:val="single"/>
        </w:rPr>
        <w:tab/>
      </w:r>
      <w:r w:rsidRPr="00686A94">
        <w:rPr>
          <w:szCs w:val="24"/>
          <w:u w:val="single"/>
        </w:rPr>
        <w:tab/>
      </w:r>
      <w:r w:rsidRPr="00686A94">
        <w:rPr>
          <w:szCs w:val="24"/>
          <w:u w:val="single"/>
        </w:rPr>
        <w:tab/>
      </w:r>
      <w:r w:rsidRPr="00686A94">
        <w:rPr>
          <w:szCs w:val="24"/>
          <w:u w:val="single"/>
        </w:rPr>
        <w:tab/>
      </w:r>
      <w:r w:rsidRPr="00686A94">
        <w:rPr>
          <w:szCs w:val="24"/>
          <w:u w:val="single"/>
        </w:rPr>
        <w:tab/>
      </w:r>
      <w:r w:rsidRPr="00686A94">
        <w:rPr>
          <w:szCs w:val="24"/>
          <w:u w:val="single"/>
        </w:rPr>
        <w:tab/>
      </w:r>
      <w:r w:rsidRPr="00686A94">
        <w:rPr>
          <w:szCs w:val="24"/>
          <w:u w:val="single"/>
        </w:rPr>
        <w:tab/>
        <w:t>Date</w:t>
      </w:r>
      <w:r w:rsidRPr="00686A94">
        <w:rPr>
          <w:szCs w:val="24"/>
          <w:u w:val="single"/>
        </w:rPr>
        <w:tab/>
      </w:r>
      <w:r w:rsidR="005F7AC4">
        <w:rPr>
          <w:szCs w:val="24"/>
          <w:u w:val="single"/>
        </w:rPr>
        <w:tab/>
      </w:r>
      <w:r w:rsidR="005F7AC4">
        <w:rPr>
          <w:szCs w:val="24"/>
          <w:u w:val="single"/>
        </w:rPr>
        <w:tab/>
      </w:r>
    </w:p>
    <w:p w:rsidR="00E4500E" w:rsidRPr="00686A94" w:rsidRDefault="00E4500E" w:rsidP="00782562">
      <w:pPr>
        <w:pStyle w:val="3"/>
        <w:rPr>
          <w:bCs/>
          <w:szCs w:val="24"/>
        </w:rPr>
      </w:pPr>
      <w:r w:rsidRPr="00686A94">
        <w:rPr>
          <w:szCs w:val="24"/>
        </w:rPr>
        <w:t>Executive Director</w:t>
      </w:r>
    </w:p>
    <w:p w:rsidR="00E4500E" w:rsidRPr="00686A94" w:rsidRDefault="00E4500E" w:rsidP="00782562">
      <w:pPr>
        <w:jc w:val="both"/>
      </w:pPr>
    </w:p>
    <w:p w:rsidR="00E4500E" w:rsidRPr="00686A94" w:rsidRDefault="00E4500E" w:rsidP="00782562">
      <w:pPr>
        <w:pStyle w:val="3"/>
        <w:rPr>
          <w:bCs/>
          <w:szCs w:val="24"/>
        </w:rPr>
      </w:pPr>
      <w:r w:rsidRPr="00686A94">
        <w:rPr>
          <w:szCs w:val="24"/>
          <w:u w:val="single"/>
        </w:rPr>
        <w:t>Signature</w:t>
      </w:r>
      <w:r w:rsidRPr="00686A94">
        <w:rPr>
          <w:szCs w:val="24"/>
          <w:u w:val="single"/>
        </w:rPr>
        <w:tab/>
      </w:r>
      <w:r w:rsidRPr="00686A94">
        <w:rPr>
          <w:szCs w:val="24"/>
          <w:u w:val="single"/>
        </w:rPr>
        <w:tab/>
      </w:r>
      <w:r w:rsidRPr="00686A94">
        <w:rPr>
          <w:szCs w:val="24"/>
          <w:u w:val="single"/>
        </w:rPr>
        <w:tab/>
      </w:r>
      <w:r w:rsidRPr="00686A94">
        <w:rPr>
          <w:szCs w:val="24"/>
          <w:u w:val="single"/>
        </w:rPr>
        <w:tab/>
      </w:r>
      <w:r w:rsidRPr="00686A94">
        <w:rPr>
          <w:szCs w:val="24"/>
          <w:u w:val="single"/>
        </w:rPr>
        <w:tab/>
      </w:r>
      <w:r w:rsidRPr="00686A94">
        <w:rPr>
          <w:szCs w:val="24"/>
          <w:u w:val="single"/>
        </w:rPr>
        <w:tab/>
      </w:r>
      <w:r w:rsidRPr="00686A94">
        <w:rPr>
          <w:szCs w:val="24"/>
          <w:u w:val="single"/>
        </w:rPr>
        <w:tab/>
      </w:r>
      <w:r w:rsidRPr="00686A94">
        <w:rPr>
          <w:szCs w:val="24"/>
          <w:u w:val="single"/>
        </w:rPr>
        <w:tab/>
        <w:t>Date</w:t>
      </w:r>
      <w:r w:rsidRPr="00686A94">
        <w:rPr>
          <w:szCs w:val="24"/>
          <w:u w:val="single"/>
        </w:rPr>
        <w:tab/>
      </w:r>
      <w:r w:rsidRPr="00686A94">
        <w:rPr>
          <w:szCs w:val="24"/>
          <w:u w:val="single"/>
        </w:rPr>
        <w:tab/>
      </w:r>
      <w:r w:rsidR="005F7AC4">
        <w:rPr>
          <w:szCs w:val="24"/>
          <w:u w:val="single"/>
        </w:rPr>
        <w:tab/>
      </w:r>
    </w:p>
    <w:p w:rsidR="00E4500E" w:rsidRPr="00686A94" w:rsidRDefault="00E4500E" w:rsidP="00782562">
      <w:pPr>
        <w:jc w:val="both"/>
      </w:pPr>
    </w:p>
    <w:p w:rsidR="00E4500E" w:rsidRPr="00686A94" w:rsidRDefault="00E4500E" w:rsidP="00782562">
      <w:pPr>
        <w:jc w:val="both"/>
      </w:pPr>
    </w:p>
    <w:p w:rsidR="00E4500E" w:rsidRPr="00686A94" w:rsidRDefault="00E4500E" w:rsidP="00782562">
      <w:pPr>
        <w:ind w:right="-115"/>
        <w:jc w:val="both"/>
        <w:rPr>
          <w:rFonts w:cs="Arial"/>
          <w:b/>
        </w:rPr>
      </w:pPr>
    </w:p>
    <w:sectPr w:rsidR="00E4500E" w:rsidRPr="00686A94" w:rsidSect="008A36A0">
      <w:headerReference w:type="default" r:id="rId9"/>
      <w:footerReference w:type="default" r:id="rId10"/>
      <w:pgSz w:w="12240" w:h="15840" w:code="1"/>
      <w:pgMar w:top="1440" w:right="1440" w:bottom="1440" w:left="1728"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11" w:rsidRDefault="007F3911" w:rsidP="00CA32F6">
      <w:r>
        <w:separator/>
      </w:r>
    </w:p>
  </w:endnote>
  <w:endnote w:type="continuationSeparator" w:id="0">
    <w:p w:rsidR="007F3911" w:rsidRDefault="007F3911" w:rsidP="00C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C8" w:rsidRPr="006D1E9E" w:rsidRDefault="00540DC8" w:rsidP="00540DC8">
    <w:pPr>
      <w:pBdr>
        <w:bottom w:val="single" w:sz="12" w:space="0" w:color="auto"/>
      </w:pBdr>
      <w:rPr>
        <w:sz w:val="20"/>
        <w:szCs w:val="20"/>
      </w:rPr>
    </w:pPr>
  </w:p>
  <w:p w:rsidR="00540DC8" w:rsidRPr="006D1E9E" w:rsidRDefault="00540DC8" w:rsidP="00540DC8">
    <w:pPr>
      <w:tabs>
        <w:tab w:val="left" w:pos="2340"/>
      </w:tabs>
      <w:jc w:val="center"/>
      <w:rPr>
        <w:sz w:val="20"/>
        <w:szCs w:val="20"/>
      </w:rPr>
    </w:pPr>
  </w:p>
  <w:p w:rsidR="00540DC8" w:rsidRDefault="008F3A3C" w:rsidP="00540DC8">
    <w:pPr>
      <w:tabs>
        <w:tab w:val="left" w:pos="2340"/>
      </w:tabs>
      <w:jc w:val="center"/>
      <w:rPr>
        <w:sz w:val="20"/>
        <w:szCs w:val="20"/>
      </w:rPr>
    </w:pPr>
    <w:r>
      <w:rPr>
        <w:sz w:val="20"/>
        <w:szCs w:val="20"/>
        <w:lang w:val="de-DE"/>
      </w:rPr>
      <w:t xml:space="preserve">© </w:t>
    </w:r>
    <w:r>
      <w:rPr>
        <w:sz w:val="20"/>
        <w:szCs w:val="20"/>
        <w:lang w:val="de-DE"/>
      </w:rPr>
      <w:t xml:space="preserve">2017 </w:t>
    </w:r>
    <w:r w:rsidR="00540DC8">
      <w:rPr>
        <w:sz w:val="20"/>
        <w:szCs w:val="20"/>
      </w:rPr>
      <w:t>National Association of Community Health Centers, Inc.</w:t>
    </w:r>
  </w:p>
  <w:p w:rsidR="00540DC8" w:rsidRDefault="00540DC8" w:rsidP="00540DC8">
    <w:pPr>
      <w:tabs>
        <w:tab w:val="left" w:pos="2340"/>
      </w:tabs>
      <w:jc w:val="center"/>
      <w:rPr>
        <w:sz w:val="20"/>
        <w:szCs w:val="20"/>
        <w:lang w:val="de-DE"/>
      </w:rPr>
    </w:pPr>
    <w:r>
      <w:rPr>
        <w:sz w:val="20"/>
        <w:szCs w:val="20"/>
        <w:lang w:val="de-DE"/>
      </w:rPr>
      <w:t>and Feldesman Tucker Leifer Fidell LLP</w:t>
    </w:r>
  </w:p>
  <w:p w:rsidR="00540DC8" w:rsidRDefault="00540DC8" w:rsidP="00540DC8">
    <w:pPr>
      <w:pStyle w:val="Footer"/>
      <w:rPr>
        <w:sz w:val="20"/>
        <w:szCs w:val="20"/>
      </w:rPr>
    </w:pPr>
  </w:p>
  <w:p w:rsidR="00540DC8" w:rsidRDefault="00540DC8" w:rsidP="001464CF">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sidR="0036458A">
      <w:rPr>
        <w:noProof/>
        <w:sz w:val="20"/>
        <w:szCs w:val="20"/>
      </w:rPr>
      <w:t>2</w:t>
    </w:r>
    <w:r>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11" w:rsidRDefault="007F3911" w:rsidP="00CA32F6">
      <w:r>
        <w:separator/>
      </w:r>
    </w:p>
  </w:footnote>
  <w:footnote w:type="continuationSeparator" w:id="0">
    <w:p w:rsidR="007F3911" w:rsidRDefault="007F3911" w:rsidP="00CA32F6">
      <w:r>
        <w:continuationSeparator/>
      </w:r>
    </w:p>
  </w:footnote>
  <w:footnote w:id="1">
    <w:p w:rsidR="00227DD1" w:rsidRPr="003E2173" w:rsidRDefault="00227DD1" w:rsidP="008A567E">
      <w:pPr>
        <w:pStyle w:val="FootnoteText"/>
        <w:ind w:left="360" w:hanging="360"/>
        <w:rPr>
          <w:sz w:val="20"/>
        </w:rPr>
      </w:pPr>
      <w:r w:rsidRPr="003E2173">
        <w:rPr>
          <w:rStyle w:val="FootnoteReference"/>
          <w:sz w:val="20"/>
        </w:rPr>
        <w:footnoteRef/>
      </w:r>
      <w:r w:rsidRPr="003E2173">
        <w:rPr>
          <w:sz w:val="20"/>
        </w:rPr>
        <w:t xml:space="preserve"> </w:t>
      </w:r>
      <w:r w:rsidR="008A567E">
        <w:rPr>
          <w:sz w:val="20"/>
        </w:rPr>
        <w:tab/>
      </w:r>
      <w:r w:rsidRPr="003E2173">
        <w:rPr>
          <w:sz w:val="20"/>
        </w:rPr>
        <w:t>The Authors of these materials include attorneys at the law firm of Felde</w:t>
      </w:r>
      <w:r w:rsidR="00310819">
        <w:rPr>
          <w:sz w:val="20"/>
        </w:rPr>
        <w:t xml:space="preserve">sman Tucker Leifer Fidell LLP. </w:t>
      </w:r>
      <w:r w:rsidRPr="003E2173">
        <w:rPr>
          <w:sz w:val="20"/>
        </w:rPr>
        <w:t xml:space="preserve">The sample documents offer general guidance based on federal law and regulations and do not necessarily apply to all </w:t>
      </w:r>
      <w:r w:rsidR="00C01442">
        <w:rPr>
          <w:sz w:val="20"/>
        </w:rPr>
        <w:t>health center</w:t>
      </w:r>
      <w:r w:rsidRPr="003E2173">
        <w:rPr>
          <w:sz w:val="20"/>
        </w:rPr>
        <w:t>s unde</w:t>
      </w:r>
      <w:r w:rsidR="00310819">
        <w:rPr>
          <w:sz w:val="20"/>
        </w:rPr>
        <w:t xml:space="preserve">r all facts and circumstances. </w:t>
      </w:r>
      <w:r w:rsidRPr="003E2173">
        <w:rPr>
          <w:sz w:val="20"/>
        </w:rPr>
        <w:t>Further, these materials do not replace, and are not a substitute for, legal advice from qualified legal counsel.</w:t>
      </w:r>
    </w:p>
  </w:footnote>
  <w:footnote w:id="2">
    <w:p w:rsidR="00E4500E" w:rsidRPr="00E4500E" w:rsidRDefault="00E4500E" w:rsidP="008A567E">
      <w:pPr>
        <w:pStyle w:val="FootnoteText"/>
        <w:ind w:left="360" w:hanging="360"/>
        <w:rPr>
          <w:sz w:val="20"/>
        </w:rPr>
      </w:pPr>
      <w:r w:rsidRPr="00E4500E">
        <w:rPr>
          <w:rStyle w:val="FootnoteReference"/>
          <w:sz w:val="20"/>
        </w:rPr>
        <w:footnoteRef/>
      </w:r>
      <w:r w:rsidR="00310819">
        <w:rPr>
          <w:sz w:val="20"/>
        </w:rPr>
        <w:t xml:space="preserve"> </w:t>
      </w:r>
      <w:r w:rsidR="008A567E">
        <w:rPr>
          <w:sz w:val="20"/>
        </w:rPr>
        <w:tab/>
      </w:r>
      <w:r w:rsidR="00310819">
        <w:rPr>
          <w:sz w:val="20"/>
        </w:rPr>
        <w:t xml:space="preserve">Authors’ note: </w:t>
      </w:r>
      <w:r w:rsidRPr="00E4500E">
        <w:rPr>
          <w:sz w:val="20"/>
        </w:rPr>
        <w:t xml:space="preserve">Using the following sample as a guide, </w:t>
      </w:r>
      <w:r>
        <w:rPr>
          <w:sz w:val="20"/>
        </w:rPr>
        <w:t>health center</w:t>
      </w:r>
      <w:r w:rsidRPr="00E4500E">
        <w:rPr>
          <w:sz w:val="20"/>
        </w:rPr>
        <w:t>s should tailor the procedure to reflect their own processes and operations.</w:t>
      </w:r>
    </w:p>
  </w:footnote>
  <w:footnote w:id="3">
    <w:p w:rsidR="00C01442" w:rsidRDefault="00C01442" w:rsidP="00211D6C">
      <w:pPr>
        <w:pStyle w:val="FootnoteText"/>
        <w:ind w:left="360" w:hanging="360"/>
      </w:pPr>
      <w:r>
        <w:rPr>
          <w:rStyle w:val="FootnoteReference"/>
        </w:rPr>
        <w:footnoteRef/>
      </w:r>
      <w:r>
        <w:t xml:space="preserve"> </w:t>
      </w:r>
      <w:r w:rsidR="00425EE2">
        <w:tab/>
      </w:r>
      <w:r>
        <w:rPr>
          <w:sz w:val="20"/>
        </w:rPr>
        <w:t xml:space="preserve">Authors’ note: </w:t>
      </w:r>
      <w:r w:rsidRPr="00185896">
        <w:rPr>
          <w:sz w:val="20"/>
        </w:rPr>
        <w:t xml:space="preserve">The </w:t>
      </w:r>
      <w:r>
        <w:rPr>
          <w:sz w:val="20"/>
        </w:rPr>
        <w:t xml:space="preserve">“Pilot Program for Enhancement of Contractor Employee </w:t>
      </w:r>
      <w:r w:rsidRPr="00185896">
        <w:rPr>
          <w:sz w:val="20"/>
        </w:rPr>
        <w:t xml:space="preserve">Whistleblower </w:t>
      </w:r>
      <w:r>
        <w:rPr>
          <w:sz w:val="20"/>
        </w:rPr>
        <w:t>Protections” is scheduled to end</w:t>
      </w:r>
      <w:r w:rsidRPr="00185896">
        <w:rPr>
          <w:sz w:val="20"/>
        </w:rPr>
        <w:t xml:space="preserve"> in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C8" w:rsidRDefault="008F3A3C" w:rsidP="00540DC8">
    <w:pPr>
      <w:pBdr>
        <w:bottom w:val="single" w:sz="12" w:space="1" w:color="auto"/>
      </w:pBdr>
      <w:jc w:val="center"/>
      <w:rPr>
        <w:sz w:val="20"/>
      </w:rPr>
    </w:pPr>
    <w:r>
      <w:rPr>
        <w:sz w:val="20"/>
      </w:rPr>
      <w:t>Element Four:</w:t>
    </w:r>
  </w:p>
  <w:p w:rsidR="008F3A3C" w:rsidRDefault="008F3A3C" w:rsidP="00540DC8">
    <w:pPr>
      <w:pBdr>
        <w:bottom w:val="single" w:sz="12" w:space="1" w:color="auto"/>
      </w:pBdr>
      <w:jc w:val="center"/>
      <w:rPr>
        <w:sz w:val="20"/>
      </w:rPr>
    </w:pPr>
    <w:r>
      <w:rPr>
        <w:sz w:val="20"/>
      </w:rPr>
      <w:t>Open Lines of Communication</w:t>
    </w:r>
  </w:p>
  <w:p w:rsidR="008F3A3C" w:rsidRPr="0066118B" w:rsidRDefault="008F3A3C" w:rsidP="00540DC8">
    <w:pPr>
      <w:pBdr>
        <w:bottom w:val="single" w:sz="12" w:space="1" w:color="auto"/>
      </w:pBdr>
      <w:jc w:val="center"/>
      <w:rPr>
        <w:sz w:val="20"/>
        <w:szCs w:val="20"/>
      </w:rPr>
    </w:pPr>
  </w:p>
  <w:p w:rsidR="00540DC8" w:rsidRDefault="00540DC8" w:rsidP="00540DC8">
    <w:pPr>
      <w:widowControl w:val="0"/>
      <w:autoSpaceDE w:val="0"/>
      <w:autoSpaceDN w:val="0"/>
      <w:adjustRightInd w:val="0"/>
      <w:spacing w:line="20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281"/>
    <w:multiLevelType w:val="hybridMultilevel"/>
    <w:tmpl w:val="55FE8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82655"/>
    <w:multiLevelType w:val="hybridMultilevel"/>
    <w:tmpl w:val="AE50A8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D762E6"/>
    <w:multiLevelType w:val="multilevel"/>
    <w:tmpl w:val="AC469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D44B7"/>
    <w:multiLevelType w:val="hybridMultilevel"/>
    <w:tmpl w:val="C220E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2F59F6"/>
    <w:multiLevelType w:val="hybridMultilevel"/>
    <w:tmpl w:val="D12AB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774BC2"/>
    <w:multiLevelType w:val="hybridMultilevel"/>
    <w:tmpl w:val="C14E6748"/>
    <w:lvl w:ilvl="0" w:tplc="AE884A8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BA13D2C"/>
    <w:multiLevelType w:val="hybridMultilevel"/>
    <w:tmpl w:val="1C9ACA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8549FF"/>
    <w:multiLevelType w:val="hybridMultilevel"/>
    <w:tmpl w:val="A924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AB"/>
    <w:rsid w:val="0000738F"/>
    <w:rsid w:val="00011B1A"/>
    <w:rsid w:val="00016E38"/>
    <w:rsid w:val="000271F4"/>
    <w:rsid w:val="000317DE"/>
    <w:rsid w:val="00037964"/>
    <w:rsid w:val="00044F13"/>
    <w:rsid w:val="00070314"/>
    <w:rsid w:val="0007538B"/>
    <w:rsid w:val="00092C4F"/>
    <w:rsid w:val="000A07A6"/>
    <w:rsid w:val="000A672D"/>
    <w:rsid w:val="000B5438"/>
    <w:rsid w:val="000C2E7A"/>
    <w:rsid w:val="000D284C"/>
    <w:rsid w:val="000D5DBC"/>
    <w:rsid w:val="000E1742"/>
    <w:rsid w:val="000E2B96"/>
    <w:rsid w:val="000E4C26"/>
    <w:rsid w:val="000F25F5"/>
    <w:rsid w:val="000F44D5"/>
    <w:rsid w:val="0012302A"/>
    <w:rsid w:val="00124149"/>
    <w:rsid w:val="001464CF"/>
    <w:rsid w:val="00150001"/>
    <w:rsid w:val="0015141F"/>
    <w:rsid w:val="00151DE1"/>
    <w:rsid w:val="00151F87"/>
    <w:rsid w:val="00163E2D"/>
    <w:rsid w:val="00167F3B"/>
    <w:rsid w:val="00190CE6"/>
    <w:rsid w:val="00193AFF"/>
    <w:rsid w:val="001B4C09"/>
    <w:rsid w:val="001C1615"/>
    <w:rsid w:val="001C3547"/>
    <w:rsid w:val="001C7307"/>
    <w:rsid w:val="001D093D"/>
    <w:rsid w:val="001E00E5"/>
    <w:rsid w:val="001E3A9E"/>
    <w:rsid w:val="001F318A"/>
    <w:rsid w:val="001F4C0E"/>
    <w:rsid w:val="00204E66"/>
    <w:rsid w:val="00211D6C"/>
    <w:rsid w:val="00225978"/>
    <w:rsid w:val="00227DD1"/>
    <w:rsid w:val="00243598"/>
    <w:rsid w:val="002440A5"/>
    <w:rsid w:val="0024670F"/>
    <w:rsid w:val="0027661C"/>
    <w:rsid w:val="002875E1"/>
    <w:rsid w:val="002952A7"/>
    <w:rsid w:val="002A1D39"/>
    <w:rsid w:val="002A45A1"/>
    <w:rsid w:val="002F09AB"/>
    <w:rsid w:val="002F2887"/>
    <w:rsid w:val="002F7C2B"/>
    <w:rsid w:val="00301CC2"/>
    <w:rsid w:val="00306907"/>
    <w:rsid w:val="00310819"/>
    <w:rsid w:val="00314B08"/>
    <w:rsid w:val="00343425"/>
    <w:rsid w:val="0036458A"/>
    <w:rsid w:val="00383CAC"/>
    <w:rsid w:val="00392F19"/>
    <w:rsid w:val="0039554D"/>
    <w:rsid w:val="003A23EE"/>
    <w:rsid w:val="003A48F2"/>
    <w:rsid w:val="003D3695"/>
    <w:rsid w:val="003D7B38"/>
    <w:rsid w:val="003E2173"/>
    <w:rsid w:val="003E7D77"/>
    <w:rsid w:val="003F4A77"/>
    <w:rsid w:val="003F514A"/>
    <w:rsid w:val="003F55EF"/>
    <w:rsid w:val="003F5EFF"/>
    <w:rsid w:val="003F77E4"/>
    <w:rsid w:val="0041165C"/>
    <w:rsid w:val="00425283"/>
    <w:rsid w:val="00425EE2"/>
    <w:rsid w:val="00426926"/>
    <w:rsid w:val="00443F94"/>
    <w:rsid w:val="00453062"/>
    <w:rsid w:val="004A557C"/>
    <w:rsid w:val="004B150F"/>
    <w:rsid w:val="004B4BEB"/>
    <w:rsid w:val="004B4D42"/>
    <w:rsid w:val="004C1F9F"/>
    <w:rsid w:val="004D5AAC"/>
    <w:rsid w:val="004F0636"/>
    <w:rsid w:val="004F1D59"/>
    <w:rsid w:val="004F2BBE"/>
    <w:rsid w:val="005018FC"/>
    <w:rsid w:val="00502E85"/>
    <w:rsid w:val="00506820"/>
    <w:rsid w:val="005123D0"/>
    <w:rsid w:val="0051453B"/>
    <w:rsid w:val="00537ECD"/>
    <w:rsid w:val="00540DC8"/>
    <w:rsid w:val="0055726C"/>
    <w:rsid w:val="00583AA5"/>
    <w:rsid w:val="00587BB4"/>
    <w:rsid w:val="005A0F4F"/>
    <w:rsid w:val="005A3828"/>
    <w:rsid w:val="005E3E40"/>
    <w:rsid w:val="005F0793"/>
    <w:rsid w:val="005F7AC4"/>
    <w:rsid w:val="006001B9"/>
    <w:rsid w:val="006151C1"/>
    <w:rsid w:val="006170A5"/>
    <w:rsid w:val="00631663"/>
    <w:rsid w:val="00631909"/>
    <w:rsid w:val="00645885"/>
    <w:rsid w:val="006506A7"/>
    <w:rsid w:val="006510E1"/>
    <w:rsid w:val="00654A19"/>
    <w:rsid w:val="0067370E"/>
    <w:rsid w:val="006807EC"/>
    <w:rsid w:val="00685CC1"/>
    <w:rsid w:val="00685D06"/>
    <w:rsid w:val="00686A94"/>
    <w:rsid w:val="006B6C72"/>
    <w:rsid w:val="006E2A61"/>
    <w:rsid w:val="006E65A7"/>
    <w:rsid w:val="007148B4"/>
    <w:rsid w:val="00717BF1"/>
    <w:rsid w:val="00760107"/>
    <w:rsid w:val="007625CD"/>
    <w:rsid w:val="00766A6C"/>
    <w:rsid w:val="00782562"/>
    <w:rsid w:val="007A02C4"/>
    <w:rsid w:val="007A1E5C"/>
    <w:rsid w:val="007B6E9C"/>
    <w:rsid w:val="007C02A8"/>
    <w:rsid w:val="007E3C73"/>
    <w:rsid w:val="007F0DE1"/>
    <w:rsid w:val="007F3911"/>
    <w:rsid w:val="007F3FC0"/>
    <w:rsid w:val="008117DF"/>
    <w:rsid w:val="0082148D"/>
    <w:rsid w:val="00826EB8"/>
    <w:rsid w:val="00847297"/>
    <w:rsid w:val="00855A45"/>
    <w:rsid w:val="00866505"/>
    <w:rsid w:val="00867763"/>
    <w:rsid w:val="008724AB"/>
    <w:rsid w:val="008734F9"/>
    <w:rsid w:val="00877754"/>
    <w:rsid w:val="008800D3"/>
    <w:rsid w:val="00892969"/>
    <w:rsid w:val="008A36A0"/>
    <w:rsid w:val="008A4D1D"/>
    <w:rsid w:val="008A4F5F"/>
    <w:rsid w:val="008A567E"/>
    <w:rsid w:val="008A6981"/>
    <w:rsid w:val="008A759B"/>
    <w:rsid w:val="008B7209"/>
    <w:rsid w:val="008B78B6"/>
    <w:rsid w:val="008F14E3"/>
    <w:rsid w:val="008F3A3C"/>
    <w:rsid w:val="008F554E"/>
    <w:rsid w:val="009000D3"/>
    <w:rsid w:val="00906AF5"/>
    <w:rsid w:val="00913C43"/>
    <w:rsid w:val="00917A0C"/>
    <w:rsid w:val="00921BCE"/>
    <w:rsid w:val="009356DD"/>
    <w:rsid w:val="009409A5"/>
    <w:rsid w:val="00940B2E"/>
    <w:rsid w:val="00941BB1"/>
    <w:rsid w:val="009430C1"/>
    <w:rsid w:val="00944EE7"/>
    <w:rsid w:val="00947EDD"/>
    <w:rsid w:val="00973ED4"/>
    <w:rsid w:val="009A1EE9"/>
    <w:rsid w:val="009B229B"/>
    <w:rsid w:val="009B5FA9"/>
    <w:rsid w:val="009B653E"/>
    <w:rsid w:val="009B6DF0"/>
    <w:rsid w:val="009C45B1"/>
    <w:rsid w:val="009D6CCB"/>
    <w:rsid w:val="009E741D"/>
    <w:rsid w:val="009F7646"/>
    <w:rsid w:val="00A22DE2"/>
    <w:rsid w:val="00A23D5E"/>
    <w:rsid w:val="00A30889"/>
    <w:rsid w:val="00A50DA3"/>
    <w:rsid w:val="00A72679"/>
    <w:rsid w:val="00A77135"/>
    <w:rsid w:val="00AD25FE"/>
    <w:rsid w:val="00AD509D"/>
    <w:rsid w:val="00AD7C51"/>
    <w:rsid w:val="00AD7DC1"/>
    <w:rsid w:val="00AE12CC"/>
    <w:rsid w:val="00AE2689"/>
    <w:rsid w:val="00B05E78"/>
    <w:rsid w:val="00B108E3"/>
    <w:rsid w:val="00B114E2"/>
    <w:rsid w:val="00B2044B"/>
    <w:rsid w:val="00B33E05"/>
    <w:rsid w:val="00B40948"/>
    <w:rsid w:val="00B610C0"/>
    <w:rsid w:val="00B757C8"/>
    <w:rsid w:val="00B832E8"/>
    <w:rsid w:val="00B92027"/>
    <w:rsid w:val="00B922DF"/>
    <w:rsid w:val="00B93EA2"/>
    <w:rsid w:val="00B948D1"/>
    <w:rsid w:val="00BA586A"/>
    <w:rsid w:val="00BC0DE0"/>
    <w:rsid w:val="00BC2C0A"/>
    <w:rsid w:val="00BC54FE"/>
    <w:rsid w:val="00BC665E"/>
    <w:rsid w:val="00BD1077"/>
    <w:rsid w:val="00BD48F2"/>
    <w:rsid w:val="00BE4DE1"/>
    <w:rsid w:val="00BE5936"/>
    <w:rsid w:val="00BF2093"/>
    <w:rsid w:val="00BF5A9A"/>
    <w:rsid w:val="00C01442"/>
    <w:rsid w:val="00C25845"/>
    <w:rsid w:val="00C30D96"/>
    <w:rsid w:val="00C43996"/>
    <w:rsid w:val="00C46AB2"/>
    <w:rsid w:val="00C61D50"/>
    <w:rsid w:val="00C667C2"/>
    <w:rsid w:val="00C7497A"/>
    <w:rsid w:val="00C84E50"/>
    <w:rsid w:val="00C97789"/>
    <w:rsid w:val="00CA32F6"/>
    <w:rsid w:val="00CE5AAA"/>
    <w:rsid w:val="00D11021"/>
    <w:rsid w:val="00D1526C"/>
    <w:rsid w:val="00D432F4"/>
    <w:rsid w:val="00D57B13"/>
    <w:rsid w:val="00D6601C"/>
    <w:rsid w:val="00D76F8F"/>
    <w:rsid w:val="00DA4323"/>
    <w:rsid w:val="00DA4C31"/>
    <w:rsid w:val="00DB74A3"/>
    <w:rsid w:val="00DC1097"/>
    <w:rsid w:val="00DF161C"/>
    <w:rsid w:val="00E14DE0"/>
    <w:rsid w:val="00E26459"/>
    <w:rsid w:val="00E35A1B"/>
    <w:rsid w:val="00E36EF1"/>
    <w:rsid w:val="00E4500E"/>
    <w:rsid w:val="00E60D68"/>
    <w:rsid w:val="00E63578"/>
    <w:rsid w:val="00E776F6"/>
    <w:rsid w:val="00E830E1"/>
    <w:rsid w:val="00E8671C"/>
    <w:rsid w:val="00E87964"/>
    <w:rsid w:val="00EC65E0"/>
    <w:rsid w:val="00EE1E07"/>
    <w:rsid w:val="00F00FC2"/>
    <w:rsid w:val="00F413A3"/>
    <w:rsid w:val="00F64608"/>
    <w:rsid w:val="00F82F2D"/>
    <w:rsid w:val="00F86F1E"/>
    <w:rsid w:val="00F937A3"/>
    <w:rsid w:val="00FA6026"/>
    <w:rsid w:val="00FB2A15"/>
    <w:rsid w:val="00FB51A1"/>
    <w:rsid w:val="00FD48A1"/>
    <w:rsid w:val="00FF575F"/>
    <w:rsid w:val="00FF74A8"/>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AB"/>
    <w:rPr>
      <w:rFonts w:ascii="Times New Roman" w:hAnsi="Times New Roman"/>
      <w:sz w:val="24"/>
      <w:szCs w:val="22"/>
    </w:rPr>
  </w:style>
  <w:style w:type="paragraph" w:styleId="Heading1">
    <w:name w:val="heading 1"/>
    <w:basedOn w:val="Normal"/>
    <w:next w:val="Normal"/>
    <w:link w:val="Heading1Char"/>
    <w:qFormat/>
    <w:rsid w:val="006E2A61"/>
    <w:pPr>
      <w:keepNext/>
      <w:ind w:left="-480"/>
      <w:outlineLvl w:val="0"/>
    </w:pPr>
    <w:rPr>
      <w:rFonts w:ascii="Lucida Sans Unicode" w:eastAsia="Times New Roman" w:hAnsi="Lucida Sans Unicode"/>
      <w:b/>
      <w:sz w:val="20"/>
      <w:szCs w:val="24"/>
    </w:rPr>
  </w:style>
  <w:style w:type="paragraph" w:styleId="Heading3">
    <w:name w:val="heading 3"/>
    <w:basedOn w:val="Normal"/>
    <w:next w:val="Normal"/>
    <w:link w:val="Heading3Char"/>
    <w:uiPriority w:val="9"/>
    <w:semiHidden/>
    <w:unhideWhenUsed/>
    <w:qFormat/>
    <w:rsid w:val="00E4500E"/>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654A19"/>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rPr>
      <w:sz w:val="22"/>
      <w:szCs w:val="22"/>
    </w:rPr>
  </w:style>
  <w:style w:type="paragraph" w:styleId="FootnoteText">
    <w:name w:val="footnote text"/>
    <w:basedOn w:val="Normal"/>
    <w:link w:val="FootnoteTextChar"/>
    <w:semiHidden/>
    <w:unhideWhenUsed/>
    <w:rsid w:val="00CA32F6"/>
    <w:rPr>
      <w:szCs w:val="20"/>
    </w:rPr>
  </w:style>
  <w:style w:type="character" w:customStyle="1" w:styleId="FootnoteTextChar">
    <w:name w:val="Footnote Text Char"/>
    <w:link w:val="FootnoteText"/>
    <w:uiPriority w:val="99"/>
    <w:semiHidden/>
    <w:rsid w:val="00CA32F6"/>
    <w:rPr>
      <w:rFonts w:ascii="Times New Roman" w:hAnsi="Times New Roman"/>
      <w:sz w:val="24"/>
      <w:szCs w:val="20"/>
    </w:rPr>
  </w:style>
  <w:style w:type="character" w:styleId="FootnoteReference">
    <w:name w:val="footnote reference"/>
    <w:semiHidden/>
    <w:unhideWhenUsed/>
    <w:rsid w:val="00CA32F6"/>
    <w:rPr>
      <w:rFonts w:ascii="Times New Roman" w:hAnsi="Times New Roman"/>
      <w:b w:val="0"/>
      <w:i w:val="0"/>
      <w:sz w:val="24"/>
      <w:vertAlign w:val="superscript"/>
    </w:rPr>
  </w:style>
  <w:style w:type="character" w:customStyle="1" w:styleId="Heading1Char">
    <w:name w:val="Heading 1 Char"/>
    <w:link w:val="Heading1"/>
    <w:rsid w:val="006E2A61"/>
    <w:rPr>
      <w:rFonts w:ascii="Lucida Sans Unicode" w:eastAsia="Times New Roman" w:hAnsi="Lucida Sans Unicode" w:cs="Times New Roman"/>
      <w:b/>
      <w:sz w:val="20"/>
      <w:szCs w:val="24"/>
    </w:rPr>
  </w:style>
  <w:style w:type="character" w:styleId="CommentReference">
    <w:name w:val="annotation reference"/>
    <w:uiPriority w:val="99"/>
    <w:semiHidden/>
    <w:rsid w:val="006E2A61"/>
    <w:rPr>
      <w:sz w:val="16"/>
      <w:szCs w:val="16"/>
    </w:rPr>
  </w:style>
  <w:style w:type="paragraph" w:styleId="CommentText">
    <w:name w:val="annotation text"/>
    <w:basedOn w:val="Normal"/>
    <w:link w:val="CommentTextChar"/>
    <w:uiPriority w:val="99"/>
    <w:semiHidden/>
    <w:rsid w:val="006E2A61"/>
    <w:rPr>
      <w:rFonts w:ascii="Arial" w:eastAsia="Times New Roman" w:hAnsi="Arial"/>
      <w:sz w:val="20"/>
      <w:szCs w:val="20"/>
    </w:rPr>
  </w:style>
  <w:style w:type="character" w:customStyle="1" w:styleId="CommentTextChar">
    <w:name w:val="Comment Text Char"/>
    <w:link w:val="CommentText"/>
    <w:uiPriority w:val="99"/>
    <w:semiHidden/>
    <w:rsid w:val="006E2A61"/>
    <w:rPr>
      <w:rFonts w:ascii="Arial" w:eastAsia="Times New Roman" w:hAnsi="Arial" w:cs="Times New Roman"/>
      <w:sz w:val="20"/>
      <w:szCs w:val="20"/>
    </w:rPr>
  </w:style>
  <w:style w:type="table" w:styleId="TableGrid">
    <w:name w:val="Table Grid"/>
    <w:basedOn w:val="TableNormal"/>
    <w:rsid w:val="006E2A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A61"/>
    <w:rPr>
      <w:rFonts w:ascii="Tahoma" w:hAnsi="Tahoma" w:cs="Tahoma"/>
      <w:sz w:val="16"/>
      <w:szCs w:val="16"/>
    </w:rPr>
  </w:style>
  <w:style w:type="character" w:customStyle="1" w:styleId="BalloonTextChar">
    <w:name w:val="Balloon Text Char"/>
    <w:link w:val="BalloonText"/>
    <w:uiPriority w:val="99"/>
    <w:semiHidden/>
    <w:rsid w:val="006E2A61"/>
    <w:rPr>
      <w:rFonts w:ascii="Tahoma" w:hAnsi="Tahoma" w:cs="Tahoma"/>
      <w:sz w:val="16"/>
      <w:szCs w:val="16"/>
    </w:rPr>
  </w:style>
  <w:style w:type="paragraph" w:styleId="ListParagraph">
    <w:name w:val="List Paragraph"/>
    <w:basedOn w:val="Normal"/>
    <w:uiPriority w:val="34"/>
    <w:qFormat/>
    <w:rsid w:val="009B229B"/>
    <w:pPr>
      <w:ind w:left="720"/>
      <w:contextualSpacing/>
    </w:pPr>
  </w:style>
  <w:style w:type="paragraph" w:styleId="CommentSubject">
    <w:name w:val="annotation subject"/>
    <w:basedOn w:val="CommentText"/>
    <w:next w:val="CommentText"/>
    <w:link w:val="CommentSubjectChar"/>
    <w:uiPriority w:val="99"/>
    <w:semiHidden/>
    <w:unhideWhenUsed/>
    <w:rsid w:val="00D76F8F"/>
    <w:rPr>
      <w:rFonts w:ascii="Times New Roman" w:eastAsia="Calibri" w:hAnsi="Times New Roman"/>
      <w:b/>
      <w:bCs/>
    </w:rPr>
  </w:style>
  <w:style w:type="character" w:customStyle="1" w:styleId="CommentSubjectChar">
    <w:name w:val="Comment Subject Char"/>
    <w:link w:val="CommentSubject"/>
    <w:uiPriority w:val="99"/>
    <w:semiHidden/>
    <w:rsid w:val="00D76F8F"/>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0A672D"/>
    <w:rPr>
      <w:sz w:val="20"/>
      <w:szCs w:val="20"/>
    </w:rPr>
  </w:style>
  <w:style w:type="character" w:customStyle="1" w:styleId="EndnoteTextChar">
    <w:name w:val="Endnote Text Char"/>
    <w:link w:val="EndnoteText"/>
    <w:uiPriority w:val="99"/>
    <w:semiHidden/>
    <w:rsid w:val="000A672D"/>
    <w:rPr>
      <w:rFonts w:ascii="Times New Roman" w:hAnsi="Times New Roman"/>
      <w:sz w:val="20"/>
      <w:szCs w:val="20"/>
    </w:rPr>
  </w:style>
  <w:style w:type="character" w:styleId="EndnoteReference">
    <w:name w:val="endnote reference"/>
    <w:uiPriority w:val="99"/>
    <w:semiHidden/>
    <w:unhideWhenUsed/>
    <w:rsid w:val="000A672D"/>
    <w:rPr>
      <w:vertAlign w:val="superscript"/>
    </w:rPr>
  </w:style>
  <w:style w:type="paragraph" w:styleId="Header">
    <w:name w:val="header"/>
    <w:basedOn w:val="Normal"/>
    <w:link w:val="HeaderChar"/>
    <w:uiPriority w:val="99"/>
    <w:unhideWhenUsed/>
    <w:rsid w:val="00540DC8"/>
    <w:pPr>
      <w:tabs>
        <w:tab w:val="center" w:pos="4680"/>
        <w:tab w:val="right" w:pos="9360"/>
      </w:tabs>
    </w:pPr>
  </w:style>
  <w:style w:type="character" w:customStyle="1" w:styleId="HeaderChar">
    <w:name w:val="Header Char"/>
    <w:link w:val="Header"/>
    <w:uiPriority w:val="99"/>
    <w:rsid w:val="00540DC8"/>
    <w:rPr>
      <w:rFonts w:ascii="Times New Roman" w:hAnsi="Times New Roman"/>
      <w:sz w:val="24"/>
    </w:rPr>
  </w:style>
  <w:style w:type="paragraph" w:styleId="Footer">
    <w:name w:val="footer"/>
    <w:basedOn w:val="Normal"/>
    <w:link w:val="FooterChar"/>
    <w:uiPriority w:val="99"/>
    <w:unhideWhenUsed/>
    <w:rsid w:val="00540DC8"/>
    <w:pPr>
      <w:tabs>
        <w:tab w:val="center" w:pos="4680"/>
        <w:tab w:val="right" w:pos="9360"/>
      </w:tabs>
    </w:pPr>
  </w:style>
  <w:style w:type="character" w:customStyle="1" w:styleId="FooterChar">
    <w:name w:val="Footer Char"/>
    <w:link w:val="Footer"/>
    <w:uiPriority w:val="99"/>
    <w:rsid w:val="00540DC8"/>
    <w:rPr>
      <w:rFonts w:ascii="Times New Roman" w:hAnsi="Times New Roman"/>
      <w:sz w:val="24"/>
    </w:rPr>
  </w:style>
  <w:style w:type="character" w:customStyle="1" w:styleId="Heading4Char">
    <w:name w:val="Heading 4 Char"/>
    <w:link w:val="Heading4"/>
    <w:uiPriority w:val="9"/>
    <w:semiHidden/>
    <w:rsid w:val="00654A19"/>
    <w:rPr>
      <w:rFonts w:ascii="Cambria" w:eastAsia="Times New Roman" w:hAnsi="Cambria" w:cs="Times New Roman"/>
      <w:b/>
      <w:bCs/>
      <w:i/>
      <w:iCs/>
      <w:color w:val="4F81BD"/>
      <w:sz w:val="24"/>
    </w:rPr>
  </w:style>
  <w:style w:type="paragraph" w:styleId="Title">
    <w:name w:val="Title"/>
    <w:basedOn w:val="Normal"/>
    <w:link w:val="TitleChar"/>
    <w:qFormat/>
    <w:rsid w:val="00654A19"/>
    <w:pPr>
      <w:jc w:val="center"/>
    </w:pPr>
    <w:rPr>
      <w:rFonts w:ascii="Arial" w:eastAsia="Times New Roman" w:hAnsi="Arial"/>
      <w:b/>
      <w:bCs/>
      <w:sz w:val="22"/>
      <w:szCs w:val="20"/>
    </w:rPr>
  </w:style>
  <w:style w:type="character" w:customStyle="1" w:styleId="TitleChar">
    <w:name w:val="Title Char"/>
    <w:link w:val="Title"/>
    <w:rsid w:val="00654A19"/>
    <w:rPr>
      <w:rFonts w:ascii="Arial" w:eastAsia="Times New Roman" w:hAnsi="Arial" w:cs="Times New Roman"/>
      <w:b/>
      <w:bCs/>
      <w:szCs w:val="20"/>
    </w:rPr>
  </w:style>
  <w:style w:type="character" w:customStyle="1" w:styleId="Heading3Char">
    <w:name w:val="Heading 3 Char"/>
    <w:link w:val="Heading3"/>
    <w:uiPriority w:val="9"/>
    <w:semiHidden/>
    <w:rsid w:val="00E4500E"/>
    <w:rPr>
      <w:rFonts w:ascii="Cambria" w:eastAsia="Times New Roman" w:hAnsi="Cambria" w:cs="Times New Roman"/>
      <w:b/>
      <w:bCs/>
      <w:color w:val="4F81BD"/>
      <w:sz w:val="24"/>
    </w:rPr>
  </w:style>
  <w:style w:type="paragraph" w:customStyle="1" w:styleId="3">
    <w:name w:val="3)"/>
    <w:basedOn w:val="Normal"/>
    <w:rsid w:val="00E4500E"/>
    <w:pPr>
      <w:jc w:val="both"/>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AB"/>
    <w:rPr>
      <w:rFonts w:ascii="Times New Roman" w:hAnsi="Times New Roman"/>
      <w:sz w:val="24"/>
      <w:szCs w:val="22"/>
    </w:rPr>
  </w:style>
  <w:style w:type="paragraph" w:styleId="Heading1">
    <w:name w:val="heading 1"/>
    <w:basedOn w:val="Normal"/>
    <w:next w:val="Normal"/>
    <w:link w:val="Heading1Char"/>
    <w:qFormat/>
    <w:rsid w:val="006E2A61"/>
    <w:pPr>
      <w:keepNext/>
      <w:ind w:left="-480"/>
      <w:outlineLvl w:val="0"/>
    </w:pPr>
    <w:rPr>
      <w:rFonts w:ascii="Lucida Sans Unicode" w:eastAsia="Times New Roman" w:hAnsi="Lucida Sans Unicode"/>
      <w:b/>
      <w:sz w:val="20"/>
      <w:szCs w:val="24"/>
    </w:rPr>
  </w:style>
  <w:style w:type="paragraph" w:styleId="Heading3">
    <w:name w:val="heading 3"/>
    <w:basedOn w:val="Normal"/>
    <w:next w:val="Normal"/>
    <w:link w:val="Heading3Char"/>
    <w:uiPriority w:val="9"/>
    <w:semiHidden/>
    <w:unhideWhenUsed/>
    <w:qFormat/>
    <w:rsid w:val="00E4500E"/>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654A19"/>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rPr>
      <w:sz w:val="22"/>
      <w:szCs w:val="22"/>
    </w:rPr>
  </w:style>
  <w:style w:type="paragraph" w:styleId="FootnoteText">
    <w:name w:val="footnote text"/>
    <w:basedOn w:val="Normal"/>
    <w:link w:val="FootnoteTextChar"/>
    <w:semiHidden/>
    <w:unhideWhenUsed/>
    <w:rsid w:val="00CA32F6"/>
    <w:rPr>
      <w:szCs w:val="20"/>
    </w:rPr>
  </w:style>
  <w:style w:type="character" w:customStyle="1" w:styleId="FootnoteTextChar">
    <w:name w:val="Footnote Text Char"/>
    <w:link w:val="FootnoteText"/>
    <w:uiPriority w:val="99"/>
    <w:semiHidden/>
    <w:rsid w:val="00CA32F6"/>
    <w:rPr>
      <w:rFonts w:ascii="Times New Roman" w:hAnsi="Times New Roman"/>
      <w:sz w:val="24"/>
      <w:szCs w:val="20"/>
    </w:rPr>
  </w:style>
  <w:style w:type="character" w:styleId="FootnoteReference">
    <w:name w:val="footnote reference"/>
    <w:semiHidden/>
    <w:unhideWhenUsed/>
    <w:rsid w:val="00CA32F6"/>
    <w:rPr>
      <w:rFonts w:ascii="Times New Roman" w:hAnsi="Times New Roman"/>
      <w:b w:val="0"/>
      <w:i w:val="0"/>
      <w:sz w:val="24"/>
      <w:vertAlign w:val="superscript"/>
    </w:rPr>
  </w:style>
  <w:style w:type="character" w:customStyle="1" w:styleId="Heading1Char">
    <w:name w:val="Heading 1 Char"/>
    <w:link w:val="Heading1"/>
    <w:rsid w:val="006E2A61"/>
    <w:rPr>
      <w:rFonts w:ascii="Lucida Sans Unicode" w:eastAsia="Times New Roman" w:hAnsi="Lucida Sans Unicode" w:cs="Times New Roman"/>
      <w:b/>
      <w:sz w:val="20"/>
      <w:szCs w:val="24"/>
    </w:rPr>
  </w:style>
  <w:style w:type="character" w:styleId="CommentReference">
    <w:name w:val="annotation reference"/>
    <w:uiPriority w:val="99"/>
    <w:semiHidden/>
    <w:rsid w:val="006E2A61"/>
    <w:rPr>
      <w:sz w:val="16"/>
      <w:szCs w:val="16"/>
    </w:rPr>
  </w:style>
  <w:style w:type="paragraph" w:styleId="CommentText">
    <w:name w:val="annotation text"/>
    <w:basedOn w:val="Normal"/>
    <w:link w:val="CommentTextChar"/>
    <w:uiPriority w:val="99"/>
    <w:semiHidden/>
    <w:rsid w:val="006E2A61"/>
    <w:rPr>
      <w:rFonts w:ascii="Arial" w:eastAsia="Times New Roman" w:hAnsi="Arial"/>
      <w:sz w:val="20"/>
      <w:szCs w:val="20"/>
    </w:rPr>
  </w:style>
  <w:style w:type="character" w:customStyle="1" w:styleId="CommentTextChar">
    <w:name w:val="Comment Text Char"/>
    <w:link w:val="CommentText"/>
    <w:uiPriority w:val="99"/>
    <w:semiHidden/>
    <w:rsid w:val="006E2A61"/>
    <w:rPr>
      <w:rFonts w:ascii="Arial" w:eastAsia="Times New Roman" w:hAnsi="Arial" w:cs="Times New Roman"/>
      <w:sz w:val="20"/>
      <w:szCs w:val="20"/>
    </w:rPr>
  </w:style>
  <w:style w:type="table" w:styleId="TableGrid">
    <w:name w:val="Table Grid"/>
    <w:basedOn w:val="TableNormal"/>
    <w:rsid w:val="006E2A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A61"/>
    <w:rPr>
      <w:rFonts w:ascii="Tahoma" w:hAnsi="Tahoma" w:cs="Tahoma"/>
      <w:sz w:val="16"/>
      <w:szCs w:val="16"/>
    </w:rPr>
  </w:style>
  <w:style w:type="character" w:customStyle="1" w:styleId="BalloonTextChar">
    <w:name w:val="Balloon Text Char"/>
    <w:link w:val="BalloonText"/>
    <w:uiPriority w:val="99"/>
    <w:semiHidden/>
    <w:rsid w:val="006E2A61"/>
    <w:rPr>
      <w:rFonts w:ascii="Tahoma" w:hAnsi="Tahoma" w:cs="Tahoma"/>
      <w:sz w:val="16"/>
      <w:szCs w:val="16"/>
    </w:rPr>
  </w:style>
  <w:style w:type="paragraph" w:styleId="ListParagraph">
    <w:name w:val="List Paragraph"/>
    <w:basedOn w:val="Normal"/>
    <w:uiPriority w:val="34"/>
    <w:qFormat/>
    <w:rsid w:val="009B229B"/>
    <w:pPr>
      <w:ind w:left="720"/>
      <w:contextualSpacing/>
    </w:pPr>
  </w:style>
  <w:style w:type="paragraph" w:styleId="CommentSubject">
    <w:name w:val="annotation subject"/>
    <w:basedOn w:val="CommentText"/>
    <w:next w:val="CommentText"/>
    <w:link w:val="CommentSubjectChar"/>
    <w:uiPriority w:val="99"/>
    <w:semiHidden/>
    <w:unhideWhenUsed/>
    <w:rsid w:val="00D76F8F"/>
    <w:rPr>
      <w:rFonts w:ascii="Times New Roman" w:eastAsia="Calibri" w:hAnsi="Times New Roman"/>
      <w:b/>
      <w:bCs/>
    </w:rPr>
  </w:style>
  <w:style w:type="character" w:customStyle="1" w:styleId="CommentSubjectChar">
    <w:name w:val="Comment Subject Char"/>
    <w:link w:val="CommentSubject"/>
    <w:uiPriority w:val="99"/>
    <w:semiHidden/>
    <w:rsid w:val="00D76F8F"/>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0A672D"/>
    <w:rPr>
      <w:sz w:val="20"/>
      <w:szCs w:val="20"/>
    </w:rPr>
  </w:style>
  <w:style w:type="character" w:customStyle="1" w:styleId="EndnoteTextChar">
    <w:name w:val="Endnote Text Char"/>
    <w:link w:val="EndnoteText"/>
    <w:uiPriority w:val="99"/>
    <w:semiHidden/>
    <w:rsid w:val="000A672D"/>
    <w:rPr>
      <w:rFonts w:ascii="Times New Roman" w:hAnsi="Times New Roman"/>
      <w:sz w:val="20"/>
      <w:szCs w:val="20"/>
    </w:rPr>
  </w:style>
  <w:style w:type="character" w:styleId="EndnoteReference">
    <w:name w:val="endnote reference"/>
    <w:uiPriority w:val="99"/>
    <w:semiHidden/>
    <w:unhideWhenUsed/>
    <w:rsid w:val="000A672D"/>
    <w:rPr>
      <w:vertAlign w:val="superscript"/>
    </w:rPr>
  </w:style>
  <w:style w:type="paragraph" w:styleId="Header">
    <w:name w:val="header"/>
    <w:basedOn w:val="Normal"/>
    <w:link w:val="HeaderChar"/>
    <w:uiPriority w:val="99"/>
    <w:unhideWhenUsed/>
    <w:rsid w:val="00540DC8"/>
    <w:pPr>
      <w:tabs>
        <w:tab w:val="center" w:pos="4680"/>
        <w:tab w:val="right" w:pos="9360"/>
      </w:tabs>
    </w:pPr>
  </w:style>
  <w:style w:type="character" w:customStyle="1" w:styleId="HeaderChar">
    <w:name w:val="Header Char"/>
    <w:link w:val="Header"/>
    <w:uiPriority w:val="99"/>
    <w:rsid w:val="00540DC8"/>
    <w:rPr>
      <w:rFonts w:ascii="Times New Roman" w:hAnsi="Times New Roman"/>
      <w:sz w:val="24"/>
    </w:rPr>
  </w:style>
  <w:style w:type="paragraph" w:styleId="Footer">
    <w:name w:val="footer"/>
    <w:basedOn w:val="Normal"/>
    <w:link w:val="FooterChar"/>
    <w:uiPriority w:val="99"/>
    <w:unhideWhenUsed/>
    <w:rsid w:val="00540DC8"/>
    <w:pPr>
      <w:tabs>
        <w:tab w:val="center" w:pos="4680"/>
        <w:tab w:val="right" w:pos="9360"/>
      </w:tabs>
    </w:pPr>
  </w:style>
  <w:style w:type="character" w:customStyle="1" w:styleId="FooterChar">
    <w:name w:val="Footer Char"/>
    <w:link w:val="Footer"/>
    <w:uiPriority w:val="99"/>
    <w:rsid w:val="00540DC8"/>
    <w:rPr>
      <w:rFonts w:ascii="Times New Roman" w:hAnsi="Times New Roman"/>
      <w:sz w:val="24"/>
    </w:rPr>
  </w:style>
  <w:style w:type="character" w:customStyle="1" w:styleId="Heading4Char">
    <w:name w:val="Heading 4 Char"/>
    <w:link w:val="Heading4"/>
    <w:uiPriority w:val="9"/>
    <w:semiHidden/>
    <w:rsid w:val="00654A19"/>
    <w:rPr>
      <w:rFonts w:ascii="Cambria" w:eastAsia="Times New Roman" w:hAnsi="Cambria" w:cs="Times New Roman"/>
      <w:b/>
      <w:bCs/>
      <w:i/>
      <w:iCs/>
      <w:color w:val="4F81BD"/>
      <w:sz w:val="24"/>
    </w:rPr>
  </w:style>
  <w:style w:type="paragraph" w:styleId="Title">
    <w:name w:val="Title"/>
    <w:basedOn w:val="Normal"/>
    <w:link w:val="TitleChar"/>
    <w:qFormat/>
    <w:rsid w:val="00654A19"/>
    <w:pPr>
      <w:jc w:val="center"/>
    </w:pPr>
    <w:rPr>
      <w:rFonts w:ascii="Arial" w:eastAsia="Times New Roman" w:hAnsi="Arial"/>
      <w:b/>
      <w:bCs/>
      <w:sz w:val="22"/>
      <w:szCs w:val="20"/>
    </w:rPr>
  </w:style>
  <w:style w:type="character" w:customStyle="1" w:styleId="TitleChar">
    <w:name w:val="Title Char"/>
    <w:link w:val="Title"/>
    <w:rsid w:val="00654A19"/>
    <w:rPr>
      <w:rFonts w:ascii="Arial" w:eastAsia="Times New Roman" w:hAnsi="Arial" w:cs="Times New Roman"/>
      <w:b/>
      <w:bCs/>
      <w:szCs w:val="20"/>
    </w:rPr>
  </w:style>
  <w:style w:type="character" w:customStyle="1" w:styleId="Heading3Char">
    <w:name w:val="Heading 3 Char"/>
    <w:link w:val="Heading3"/>
    <w:uiPriority w:val="9"/>
    <w:semiHidden/>
    <w:rsid w:val="00E4500E"/>
    <w:rPr>
      <w:rFonts w:ascii="Cambria" w:eastAsia="Times New Roman" w:hAnsi="Cambria" w:cs="Times New Roman"/>
      <w:b/>
      <w:bCs/>
      <w:color w:val="4F81BD"/>
      <w:sz w:val="24"/>
    </w:rPr>
  </w:style>
  <w:style w:type="paragraph" w:customStyle="1" w:styleId="3">
    <w:name w:val="3)"/>
    <w:basedOn w:val="Normal"/>
    <w:rsid w:val="00E4500E"/>
    <w:pPr>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319676">
      <w:bodyDiv w:val="1"/>
      <w:marLeft w:val="0"/>
      <w:marRight w:val="0"/>
      <w:marTop w:val="0"/>
      <w:marBottom w:val="0"/>
      <w:divBdr>
        <w:top w:val="none" w:sz="0" w:space="0" w:color="auto"/>
        <w:left w:val="none" w:sz="0" w:space="0" w:color="auto"/>
        <w:bottom w:val="none" w:sz="0" w:space="0" w:color="auto"/>
        <w:right w:val="none" w:sz="0" w:space="0" w:color="auto"/>
      </w:divBdr>
      <w:divsChild>
        <w:div w:id="225065627">
          <w:marLeft w:val="0"/>
          <w:marRight w:val="0"/>
          <w:marTop w:val="0"/>
          <w:marBottom w:val="0"/>
          <w:divBdr>
            <w:top w:val="none" w:sz="0" w:space="0" w:color="auto"/>
            <w:left w:val="none" w:sz="0" w:space="0" w:color="auto"/>
            <w:bottom w:val="none" w:sz="0" w:space="0" w:color="auto"/>
            <w:right w:val="none" w:sz="0" w:space="0" w:color="auto"/>
          </w:divBdr>
        </w:div>
        <w:div w:id="276327774">
          <w:marLeft w:val="0"/>
          <w:marRight w:val="0"/>
          <w:marTop w:val="0"/>
          <w:marBottom w:val="0"/>
          <w:divBdr>
            <w:top w:val="none" w:sz="0" w:space="0" w:color="auto"/>
            <w:left w:val="none" w:sz="0" w:space="0" w:color="auto"/>
            <w:bottom w:val="none" w:sz="0" w:space="0" w:color="auto"/>
            <w:right w:val="none" w:sz="0" w:space="0" w:color="auto"/>
          </w:divBdr>
        </w:div>
        <w:div w:id="721100648">
          <w:marLeft w:val="0"/>
          <w:marRight w:val="0"/>
          <w:marTop w:val="0"/>
          <w:marBottom w:val="0"/>
          <w:divBdr>
            <w:top w:val="none" w:sz="0" w:space="0" w:color="auto"/>
            <w:left w:val="none" w:sz="0" w:space="0" w:color="auto"/>
            <w:bottom w:val="none" w:sz="0" w:space="0" w:color="auto"/>
            <w:right w:val="none" w:sz="0" w:space="0" w:color="auto"/>
          </w:divBdr>
        </w:div>
        <w:div w:id="882205458">
          <w:marLeft w:val="0"/>
          <w:marRight w:val="0"/>
          <w:marTop w:val="0"/>
          <w:marBottom w:val="0"/>
          <w:divBdr>
            <w:top w:val="none" w:sz="0" w:space="0" w:color="auto"/>
            <w:left w:val="none" w:sz="0" w:space="0" w:color="auto"/>
            <w:bottom w:val="none" w:sz="0" w:space="0" w:color="auto"/>
            <w:right w:val="none" w:sz="0" w:space="0" w:color="auto"/>
          </w:divBdr>
        </w:div>
        <w:div w:id="923878800">
          <w:marLeft w:val="0"/>
          <w:marRight w:val="0"/>
          <w:marTop w:val="0"/>
          <w:marBottom w:val="0"/>
          <w:divBdr>
            <w:top w:val="none" w:sz="0" w:space="0" w:color="auto"/>
            <w:left w:val="none" w:sz="0" w:space="0" w:color="auto"/>
            <w:bottom w:val="none" w:sz="0" w:space="0" w:color="auto"/>
            <w:right w:val="none" w:sz="0" w:space="0" w:color="auto"/>
          </w:divBdr>
        </w:div>
        <w:div w:id="1270894187">
          <w:marLeft w:val="0"/>
          <w:marRight w:val="0"/>
          <w:marTop w:val="0"/>
          <w:marBottom w:val="0"/>
          <w:divBdr>
            <w:top w:val="none" w:sz="0" w:space="0" w:color="auto"/>
            <w:left w:val="none" w:sz="0" w:space="0" w:color="auto"/>
            <w:bottom w:val="none" w:sz="0" w:space="0" w:color="auto"/>
            <w:right w:val="none" w:sz="0" w:space="0" w:color="auto"/>
          </w:divBdr>
        </w:div>
        <w:div w:id="1311445250">
          <w:marLeft w:val="0"/>
          <w:marRight w:val="0"/>
          <w:marTop w:val="0"/>
          <w:marBottom w:val="0"/>
          <w:divBdr>
            <w:top w:val="none" w:sz="0" w:space="0" w:color="auto"/>
            <w:left w:val="none" w:sz="0" w:space="0" w:color="auto"/>
            <w:bottom w:val="none" w:sz="0" w:space="0" w:color="auto"/>
            <w:right w:val="none" w:sz="0" w:space="0" w:color="auto"/>
          </w:divBdr>
        </w:div>
        <w:div w:id="1459226740">
          <w:marLeft w:val="0"/>
          <w:marRight w:val="0"/>
          <w:marTop w:val="0"/>
          <w:marBottom w:val="0"/>
          <w:divBdr>
            <w:top w:val="none" w:sz="0" w:space="0" w:color="auto"/>
            <w:left w:val="none" w:sz="0" w:space="0" w:color="auto"/>
            <w:bottom w:val="none" w:sz="0" w:space="0" w:color="auto"/>
            <w:right w:val="none" w:sz="0" w:space="0" w:color="auto"/>
          </w:divBdr>
        </w:div>
        <w:div w:id="1473716690">
          <w:marLeft w:val="0"/>
          <w:marRight w:val="0"/>
          <w:marTop w:val="0"/>
          <w:marBottom w:val="0"/>
          <w:divBdr>
            <w:top w:val="none" w:sz="0" w:space="0" w:color="auto"/>
            <w:left w:val="none" w:sz="0" w:space="0" w:color="auto"/>
            <w:bottom w:val="none" w:sz="0" w:space="0" w:color="auto"/>
            <w:right w:val="none" w:sz="0" w:space="0" w:color="auto"/>
          </w:divBdr>
        </w:div>
        <w:div w:id="1541819560">
          <w:marLeft w:val="0"/>
          <w:marRight w:val="0"/>
          <w:marTop w:val="0"/>
          <w:marBottom w:val="0"/>
          <w:divBdr>
            <w:top w:val="none" w:sz="0" w:space="0" w:color="auto"/>
            <w:left w:val="none" w:sz="0" w:space="0" w:color="auto"/>
            <w:bottom w:val="none" w:sz="0" w:space="0" w:color="auto"/>
            <w:right w:val="none" w:sz="0" w:space="0" w:color="auto"/>
          </w:divBdr>
        </w:div>
        <w:div w:id="1676612799">
          <w:marLeft w:val="0"/>
          <w:marRight w:val="0"/>
          <w:marTop w:val="0"/>
          <w:marBottom w:val="0"/>
          <w:divBdr>
            <w:top w:val="none" w:sz="0" w:space="0" w:color="auto"/>
            <w:left w:val="none" w:sz="0" w:space="0" w:color="auto"/>
            <w:bottom w:val="none" w:sz="0" w:space="0" w:color="auto"/>
            <w:right w:val="none" w:sz="0" w:space="0" w:color="auto"/>
          </w:divBdr>
        </w:div>
        <w:div w:id="1764035246">
          <w:marLeft w:val="0"/>
          <w:marRight w:val="0"/>
          <w:marTop w:val="0"/>
          <w:marBottom w:val="0"/>
          <w:divBdr>
            <w:top w:val="none" w:sz="0" w:space="0" w:color="auto"/>
            <w:left w:val="none" w:sz="0" w:space="0" w:color="auto"/>
            <w:bottom w:val="none" w:sz="0" w:space="0" w:color="auto"/>
            <w:right w:val="none" w:sz="0" w:space="0" w:color="auto"/>
          </w:divBdr>
        </w:div>
        <w:div w:id="2093505126">
          <w:marLeft w:val="0"/>
          <w:marRight w:val="0"/>
          <w:marTop w:val="0"/>
          <w:marBottom w:val="0"/>
          <w:divBdr>
            <w:top w:val="none" w:sz="0" w:space="0" w:color="auto"/>
            <w:left w:val="none" w:sz="0" w:space="0" w:color="auto"/>
            <w:bottom w:val="none" w:sz="0" w:space="0" w:color="auto"/>
            <w:right w:val="none" w:sz="0" w:space="0" w:color="auto"/>
          </w:divBdr>
        </w:div>
        <w:div w:id="210318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509A-1F00-4584-96AB-0227C5B4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 Hoffman</dc:creator>
  <cp:lastModifiedBy>Pledgie, Dianne</cp:lastModifiedBy>
  <cp:revision>4</cp:revision>
  <cp:lastPrinted>2015-07-31T19:09:00Z</cp:lastPrinted>
  <dcterms:created xsi:type="dcterms:W3CDTF">2017-08-02T18:30:00Z</dcterms:created>
  <dcterms:modified xsi:type="dcterms:W3CDTF">2017-09-25T17:47:00Z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oFAAC41Wbh9etaVbPI4lXHlgpvE6ZVADYxsMNaLNzhGZjaii9+kj0GQuo3oF5jSf3Ble0VuVoKL0XoZq
ZThC00PZBigL+voPLZmxT0qHfe1/VnKslRaf9Ka+yI/4yLwHZDIRwTranqDZL7lb/MDgC3C/bhf4
QmuSAo8rXUFkqs/pvDXHeetuIT5vP7E9j3K16ARNGUMEzgGXGZ1Q42a4+nL9pundG7hixMnG7V1O
KISM2rJ45CrCgZrZa</vt:lpwstr>
  </property>
  <property fmtid="{D5CDD505-2E9C-101B-9397-08002B2CF9AE}" pid="3" name="MAIL_MSG_ID2">
    <vt:lpwstr>pAOr86tlzq/8I3iHWdNtZl5A6+qlLG5PfjCHrEQZtah8K6uCvP1ZcoxAcqM
p2R+XG3LTOQv5vA+s5qlHMhSUkZwXK+JTYoYXWz+SnPdyikQ</vt:lpwstr>
  </property>
  <property fmtid="{D5CDD505-2E9C-101B-9397-08002B2CF9AE}" pid="4" name="RESPONSE_SENDER_NAME">
    <vt:lpwstr>sAAAb0xRtPDW5UvVI4xnjv6dgBNlZHj0id2aOafGf/V62qM=</vt:lpwstr>
  </property>
  <property fmtid="{D5CDD505-2E9C-101B-9397-08002B2CF9AE}" pid="5" name="EMAIL_OWNER_ADDRESS">
    <vt:lpwstr>ABAAv4tRYjpfjUu0/RWqjO5wPYF6GbVcZqpvoMqwyF8zSGTbsw+p9g2TvXztO5Rd80Lp</vt:lpwstr>
  </property>
</Properties>
</file>