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08" w:rsidRPr="007D102C" w:rsidRDefault="00B07708" w:rsidP="00B07708">
      <w:pPr>
        <w:autoSpaceDE w:val="0"/>
        <w:autoSpaceDN w:val="0"/>
        <w:adjustRightInd w:val="0"/>
        <w:spacing w:before="11"/>
        <w:ind w:right="-20"/>
        <w:jc w:val="center"/>
        <w:rPr>
          <w:b/>
          <w:spacing w:val="0"/>
          <w:kern w:val="2"/>
          <w:sz w:val="32"/>
          <w:szCs w:val="32"/>
        </w:rPr>
      </w:pPr>
      <w:r w:rsidRPr="007D102C">
        <w:rPr>
          <w:b/>
          <w:spacing w:val="0"/>
          <w:kern w:val="2"/>
          <w:sz w:val="32"/>
          <w:szCs w:val="32"/>
        </w:rPr>
        <w:t>Group Purchasing Programs</w:t>
      </w:r>
      <w:r w:rsidR="00CF1C01" w:rsidRPr="007D102C">
        <w:rPr>
          <w:b/>
          <w:spacing w:val="0"/>
          <w:kern w:val="2"/>
          <w:sz w:val="32"/>
          <w:szCs w:val="32"/>
        </w:rPr>
        <w:t>: Sample Policy and Procedure</w:t>
      </w:r>
      <w:r w:rsidRPr="007D102C">
        <w:rPr>
          <w:rStyle w:val="FootnoteReference"/>
          <w:b/>
          <w:spacing w:val="0"/>
          <w:kern w:val="2"/>
        </w:rPr>
        <w:footnoteReference w:id="1"/>
      </w:r>
    </w:p>
    <w:p w:rsidR="00B07708" w:rsidRPr="007D102C" w:rsidRDefault="00B07708" w:rsidP="00B0770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pacing w:val="0"/>
          <w:kern w:val="2"/>
        </w:rPr>
      </w:pPr>
    </w:p>
    <w:p w:rsidR="00F70F3E" w:rsidRPr="007D102C" w:rsidRDefault="00F70F3E" w:rsidP="00B07708">
      <w:pPr>
        <w:rPr>
          <w:spacing w:val="0"/>
          <w:kern w:val="2"/>
        </w:rPr>
      </w:pPr>
    </w:p>
    <w:p w:rsidR="00F70F3E" w:rsidRPr="007D102C" w:rsidRDefault="00E251B3" w:rsidP="00F70F3E">
      <w:pPr>
        <w:pStyle w:val="Heading1"/>
        <w:jc w:val="left"/>
        <w:rPr>
          <w:spacing w:val="0"/>
          <w:kern w:val="2"/>
          <w:sz w:val="24"/>
        </w:rPr>
      </w:pPr>
      <w:r w:rsidRPr="007D102C">
        <w:rPr>
          <w:b/>
          <w:spacing w:val="0"/>
          <w:kern w:val="2"/>
          <w:sz w:val="24"/>
        </w:rPr>
        <w:t>Policy</w:t>
      </w:r>
      <w:r w:rsidR="00B07708" w:rsidRPr="007D102C">
        <w:rPr>
          <w:b/>
          <w:spacing w:val="0"/>
          <w:kern w:val="2"/>
          <w:sz w:val="24"/>
        </w:rPr>
        <w:t>.</w:t>
      </w:r>
    </w:p>
    <w:p w:rsidR="00F70F3E" w:rsidRPr="007D102C" w:rsidRDefault="00F70F3E" w:rsidP="00F70F3E">
      <w:pPr>
        <w:rPr>
          <w:spacing w:val="0"/>
          <w:kern w:val="2"/>
        </w:rPr>
      </w:pPr>
    </w:p>
    <w:p w:rsidR="00F70F3E" w:rsidRPr="007D102C" w:rsidRDefault="00CF1C01" w:rsidP="00E962BC">
      <w:pPr>
        <w:jc w:val="both"/>
        <w:rPr>
          <w:spacing w:val="0"/>
          <w:kern w:val="2"/>
        </w:rPr>
      </w:pPr>
      <w:r w:rsidRPr="007D102C">
        <w:rPr>
          <w:spacing w:val="0"/>
          <w:kern w:val="2"/>
        </w:rPr>
        <w:t>It is the</w:t>
      </w:r>
      <w:r w:rsidR="00F70F3E" w:rsidRPr="007D102C">
        <w:rPr>
          <w:spacing w:val="0"/>
          <w:kern w:val="2"/>
        </w:rPr>
        <w:t xml:space="preserve"> policy </w:t>
      </w:r>
      <w:r w:rsidRPr="007D102C">
        <w:rPr>
          <w:spacing w:val="0"/>
          <w:kern w:val="2"/>
        </w:rPr>
        <w:t>of [</w:t>
      </w:r>
      <w:r w:rsidRPr="007D102C">
        <w:rPr>
          <w:i/>
          <w:spacing w:val="0"/>
          <w:kern w:val="2"/>
        </w:rPr>
        <w:t>PCA-HCCN name</w:t>
      </w:r>
      <w:r w:rsidRPr="007D102C">
        <w:rPr>
          <w:spacing w:val="0"/>
          <w:kern w:val="2"/>
        </w:rPr>
        <w:t xml:space="preserve">] (“PCA-HCCN”) </w:t>
      </w:r>
      <w:r w:rsidR="00F70F3E" w:rsidRPr="007D102C">
        <w:rPr>
          <w:spacing w:val="0"/>
          <w:kern w:val="2"/>
        </w:rPr>
        <w:t>that any group purchasing arra</w:t>
      </w:r>
      <w:r w:rsidR="00673DE6" w:rsidRPr="007D102C">
        <w:rPr>
          <w:spacing w:val="0"/>
          <w:kern w:val="2"/>
        </w:rPr>
        <w:t xml:space="preserve">ngements entered into by the </w:t>
      </w:r>
      <w:r w:rsidR="00F70F3E" w:rsidRPr="007D102C">
        <w:rPr>
          <w:spacing w:val="0"/>
          <w:kern w:val="2"/>
        </w:rPr>
        <w:t>PCA</w:t>
      </w:r>
      <w:r w:rsidR="00673DE6" w:rsidRPr="007D102C">
        <w:rPr>
          <w:spacing w:val="0"/>
          <w:kern w:val="2"/>
        </w:rPr>
        <w:t>-HCCN</w:t>
      </w:r>
      <w:r w:rsidR="00F70F3E" w:rsidRPr="007D102C">
        <w:rPr>
          <w:spacing w:val="0"/>
          <w:kern w:val="2"/>
        </w:rPr>
        <w:t xml:space="preserve">, either directly or through the formation of a new group purchasing organization (“GPO”), shall comply with all </w:t>
      </w:r>
      <w:r w:rsidR="00367708" w:rsidRPr="007D102C">
        <w:rPr>
          <w:spacing w:val="0"/>
          <w:kern w:val="2"/>
        </w:rPr>
        <w:t>applicable requirements of the federal Anti-K</w:t>
      </w:r>
      <w:r w:rsidR="00673DE6" w:rsidRPr="007D102C">
        <w:rPr>
          <w:spacing w:val="0"/>
          <w:kern w:val="2"/>
        </w:rPr>
        <w:t>ickback Statute.</w:t>
      </w:r>
      <w:r w:rsidR="00673DE6" w:rsidRPr="007D102C">
        <w:rPr>
          <w:rStyle w:val="FootnoteReference"/>
          <w:spacing w:val="0"/>
          <w:kern w:val="2"/>
        </w:rPr>
        <w:footnoteReference w:id="2"/>
      </w:r>
    </w:p>
    <w:p w:rsidR="00F70F3E" w:rsidRPr="007D102C" w:rsidRDefault="00F70F3E" w:rsidP="00E962BC">
      <w:pPr>
        <w:jc w:val="both"/>
        <w:rPr>
          <w:spacing w:val="0"/>
          <w:kern w:val="2"/>
        </w:rPr>
      </w:pPr>
    </w:p>
    <w:p w:rsidR="00F70F3E" w:rsidRPr="007D102C" w:rsidRDefault="00E251B3" w:rsidP="00E962BC">
      <w:pPr>
        <w:jc w:val="both"/>
        <w:rPr>
          <w:spacing w:val="0"/>
          <w:kern w:val="2"/>
        </w:rPr>
      </w:pPr>
      <w:r w:rsidRPr="007D102C">
        <w:rPr>
          <w:b/>
          <w:spacing w:val="0"/>
          <w:kern w:val="2"/>
        </w:rPr>
        <w:t>Procedure</w:t>
      </w:r>
      <w:r w:rsidR="00B07708" w:rsidRPr="007D102C">
        <w:rPr>
          <w:b/>
          <w:spacing w:val="0"/>
          <w:kern w:val="2"/>
        </w:rPr>
        <w:t>.</w:t>
      </w:r>
      <w:r w:rsidR="00B21AC1" w:rsidRPr="007D102C">
        <w:rPr>
          <w:rStyle w:val="FootnoteReference"/>
          <w:b/>
          <w:spacing w:val="0"/>
          <w:kern w:val="2"/>
        </w:rPr>
        <w:footnoteReference w:id="3"/>
      </w:r>
    </w:p>
    <w:p w:rsidR="00F70F3E" w:rsidRPr="007D102C" w:rsidRDefault="00F70F3E" w:rsidP="00E962BC">
      <w:pPr>
        <w:jc w:val="both"/>
        <w:rPr>
          <w:spacing w:val="0"/>
          <w:kern w:val="2"/>
        </w:rPr>
      </w:pPr>
    </w:p>
    <w:p w:rsidR="00F70F3E" w:rsidRPr="007D102C" w:rsidRDefault="00F70F3E" w:rsidP="00E962BC">
      <w:pPr>
        <w:jc w:val="both"/>
        <w:rPr>
          <w:spacing w:val="0"/>
          <w:kern w:val="2"/>
        </w:rPr>
      </w:pPr>
      <w:r w:rsidRPr="007D102C">
        <w:rPr>
          <w:spacing w:val="0"/>
          <w:kern w:val="2"/>
        </w:rPr>
        <w:t>It is understood that</w:t>
      </w:r>
      <w:r w:rsidR="00092EC9" w:rsidRPr="007D102C">
        <w:rPr>
          <w:spacing w:val="0"/>
          <w:kern w:val="2"/>
        </w:rPr>
        <w:t xml:space="preserve"> one of the functions of</w:t>
      </w:r>
      <w:r w:rsidR="00673DE6" w:rsidRPr="007D102C">
        <w:rPr>
          <w:spacing w:val="0"/>
          <w:kern w:val="2"/>
        </w:rPr>
        <w:t xml:space="preserve"> </w:t>
      </w:r>
      <w:r w:rsidRPr="007D102C">
        <w:rPr>
          <w:spacing w:val="0"/>
          <w:kern w:val="2"/>
        </w:rPr>
        <w:t>PCA</w:t>
      </w:r>
      <w:r w:rsidR="00673DE6" w:rsidRPr="007D102C">
        <w:rPr>
          <w:spacing w:val="0"/>
          <w:kern w:val="2"/>
        </w:rPr>
        <w:t>-HCCN</w:t>
      </w:r>
      <w:r w:rsidRPr="007D102C">
        <w:rPr>
          <w:spacing w:val="0"/>
          <w:kern w:val="2"/>
        </w:rPr>
        <w:t xml:space="preserve"> is to develop and execute certain group purchasing a</w:t>
      </w:r>
      <w:r w:rsidR="00673DE6" w:rsidRPr="007D102C">
        <w:rPr>
          <w:spacing w:val="0"/>
          <w:kern w:val="2"/>
        </w:rPr>
        <w:t>rrangements o</w:t>
      </w:r>
      <w:r w:rsidR="00092EC9" w:rsidRPr="007D102C">
        <w:rPr>
          <w:spacing w:val="0"/>
          <w:kern w:val="2"/>
        </w:rPr>
        <w:t xml:space="preserve">n behalf of </w:t>
      </w:r>
      <w:r w:rsidRPr="007D102C">
        <w:rPr>
          <w:spacing w:val="0"/>
          <w:kern w:val="2"/>
        </w:rPr>
        <w:t>PCA</w:t>
      </w:r>
      <w:r w:rsidR="00673DE6" w:rsidRPr="007D102C">
        <w:rPr>
          <w:spacing w:val="0"/>
          <w:kern w:val="2"/>
        </w:rPr>
        <w:t>-HCCN</w:t>
      </w:r>
      <w:r w:rsidRPr="007D102C">
        <w:rPr>
          <w:spacing w:val="0"/>
          <w:kern w:val="2"/>
        </w:rPr>
        <w:t>’s members, under which the members will receive a discount for certain services and/or go</w:t>
      </w:r>
      <w:r w:rsidR="00673DE6" w:rsidRPr="007D102C">
        <w:rPr>
          <w:spacing w:val="0"/>
          <w:kern w:val="2"/>
        </w:rPr>
        <w:t>ods covered by the arrangement.</w:t>
      </w:r>
      <w:r w:rsidRPr="007D102C">
        <w:rPr>
          <w:spacing w:val="0"/>
          <w:kern w:val="2"/>
        </w:rPr>
        <w:t xml:space="preserve"> Prior to enterin</w:t>
      </w:r>
      <w:r w:rsidR="00673DE6" w:rsidRPr="007D102C">
        <w:rPr>
          <w:spacing w:val="0"/>
          <w:kern w:val="2"/>
        </w:rPr>
        <w:t xml:space="preserve">g into such arrangement, </w:t>
      </w:r>
      <w:r w:rsidRPr="007D102C">
        <w:rPr>
          <w:spacing w:val="0"/>
          <w:kern w:val="2"/>
        </w:rPr>
        <w:t>PCA</w:t>
      </w:r>
      <w:r w:rsidR="00673DE6" w:rsidRPr="007D102C">
        <w:rPr>
          <w:spacing w:val="0"/>
          <w:kern w:val="2"/>
        </w:rPr>
        <w:t>-HCCN</w:t>
      </w:r>
      <w:r w:rsidRPr="007D102C">
        <w:rPr>
          <w:spacing w:val="0"/>
          <w:kern w:val="2"/>
        </w:rPr>
        <w:t>, through its Executive Director (or his/her designee), shall ensure that the arrangement complies with the requirements of</w:t>
      </w:r>
      <w:r w:rsidR="00367708" w:rsidRPr="007D102C">
        <w:rPr>
          <w:spacing w:val="0"/>
          <w:kern w:val="2"/>
        </w:rPr>
        <w:t xml:space="preserve"> the GPO safe harbor under the f</w:t>
      </w:r>
      <w:r w:rsidRPr="007D102C">
        <w:rPr>
          <w:spacing w:val="0"/>
          <w:kern w:val="2"/>
        </w:rPr>
        <w:t>ederal An</w:t>
      </w:r>
      <w:r w:rsidR="00367708" w:rsidRPr="007D102C">
        <w:rPr>
          <w:spacing w:val="0"/>
          <w:kern w:val="2"/>
        </w:rPr>
        <w:t>ti-Kickback Statute</w:t>
      </w:r>
      <w:r w:rsidRPr="007D102C">
        <w:rPr>
          <w:spacing w:val="0"/>
          <w:kern w:val="2"/>
        </w:rPr>
        <w:t>,</w:t>
      </w:r>
      <w:r w:rsidR="00092EC9" w:rsidRPr="007D102C">
        <w:rPr>
          <w:rStyle w:val="FootnoteReference"/>
          <w:spacing w:val="0"/>
          <w:kern w:val="2"/>
        </w:rPr>
        <w:footnoteReference w:id="4"/>
      </w:r>
      <w:r w:rsidRPr="007D102C">
        <w:rPr>
          <w:spacing w:val="0"/>
          <w:kern w:val="2"/>
        </w:rPr>
        <w:t xml:space="preserve"> as follows:</w:t>
      </w:r>
    </w:p>
    <w:p w:rsidR="00F70F3E" w:rsidRPr="007D102C" w:rsidRDefault="00F70F3E" w:rsidP="00E962BC">
      <w:pPr>
        <w:jc w:val="both"/>
        <w:rPr>
          <w:spacing w:val="0"/>
          <w:kern w:val="2"/>
        </w:rPr>
      </w:pPr>
    </w:p>
    <w:p w:rsidR="00F70F3E" w:rsidRPr="007D102C" w:rsidRDefault="00F70F3E" w:rsidP="00E962BC">
      <w:pPr>
        <w:numPr>
          <w:ilvl w:val="0"/>
          <w:numId w:val="1"/>
        </w:numPr>
        <w:jc w:val="both"/>
        <w:rPr>
          <w:spacing w:val="0"/>
          <w:kern w:val="2"/>
        </w:rPr>
      </w:pPr>
      <w:r w:rsidRPr="007D102C">
        <w:rPr>
          <w:spacing w:val="0"/>
          <w:kern w:val="2"/>
        </w:rPr>
        <w:t>PCA</w:t>
      </w:r>
      <w:r w:rsidR="00092EC9" w:rsidRPr="007D102C">
        <w:rPr>
          <w:spacing w:val="0"/>
          <w:kern w:val="2"/>
        </w:rPr>
        <w:t>-HCCN</w:t>
      </w:r>
      <w:r w:rsidRPr="007D102C">
        <w:rPr>
          <w:spacing w:val="0"/>
          <w:kern w:val="2"/>
        </w:rPr>
        <w:t xml:space="preserve"> will have a written agreement with each member participating in the group purchasing arrangement</w:t>
      </w:r>
      <w:r w:rsidR="00092EC9" w:rsidRPr="007D102C">
        <w:rPr>
          <w:spacing w:val="0"/>
          <w:kern w:val="2"/>
        </w:rPr>
        <w:t xml:space="preserve"> authorizing </w:t>
      </w:r>
      <w:r w:rsidR="002257D0" w:rsidRPr="007D102C">
        <w:rPr>
          <w:spacing w:val="0"/>
          <w:kern w:val="2"/>
        </w:rPr>
        <w:t>PCA</w:t>
      </w:r>
      <w:r w:rsidR="00092EC9" w:rsidRPr="007D102C">
        <w:rPr>
          <w:spacing w:val="0"/>
          <w:kern w:val="2"/>
        </w:rPr>
        <w:t>-HCCN</w:t>
      </w:r>
      <w:r w:rsidR="002257D0" w:rsidRPr="007D102C">
        <w:rPr>
          <w:spacing w:val="0"/>
          <w:kern w:val="2"/>
        </w:rPr>
        <w:t xml:space="preserve"> to act as its purchasing agent and</w:t>
      </w:r>
      <w:r w:rsidRPr="007D102C">
        <w:rPr>
          <w:spacing w:val="0"/>
          <w:kern w:val="2"/>
        </w:rPr>
        <w:t xml:space="preserve"> providing either of the following:</w:t>
      </w:r>
    </w:p>
    <w:p w:rsidR="00F70F3E" w:rsidRPr="007D102C" w:rsidRDefault="00F70F3E" w:rsidP="00E962BC">
      <w:pPr>
        <w:ind w:left="1080"/>
        <w:jc w:val="both"/>
        <w:rPr>
          <w:spacing w:val="0"/>
          <w:kern w:val="2"/>
        </w:rPr>
      </w:pPr>
    </w:p>
    <w:p w:rsidR="00F70F3E" w:rsidRPr="007D102C" w:rsidRDefault="00F70F3E" w:rsidP="0034722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pacing w:val="0"/>
          <w:kern w:val="2"/>
        </w:rPr>
      </w:pPr>
      <w:r w:rsidRPr="007D102C">
        <w:rPr>
          <w:spacing w:val="0"/>
          <w:kern w:val="2"/>
        </w:rPr>
        <w:t xml:space="preserve">The agreement states that </w:t>
      </w:r>
      <w:r w:rsidR="00367708" w:rsidRPr="007D102C">
        <w:rPr>
          <w:spacing w:val="0"/>
          <w:kern w:val="2"/>
        </w:rPr>
        <w:t xml:space="preserve">the </w:t>
      </w:r>
      <w:r w:rsidRPr="007D102C">
        <w:rPr>
          <w:spacing w:val="0"/>
          <w:kern w:val="2"/>
        </w:rPr>
        <w:t>vendor from whom the members will purchase goods or se</w:t>
      </w:r>
      <w:r w:rsidR="00F6476C" w:rsidRPr="007D102C">
        <w:rPr>
          <w:spacing w:val="0"/>
          <w:kern w:val="2"/>
        </w:rPr>
        <w:t xml:space="preserve">rvices will pay a fee to </w:t>
      </w:r>
      <w:r w:rsidRPr="007D102C">
        <w:rPr>
          <w:spacing w:val="0"/>
          <w:kern w:val="2"/>
        </w:rPr>
        <w:t>PCA</w:t>
      </w:r>
      <w:r w:rsidR="00F6476C" w:rsidRPr="007D102C">
        <w:rPr>
          <w:spacing w:val="0"/>
          <w:kern w:val="2"/>
        </w:rPr>
        <w:t>-HCCN</w:t>
      </w:r>
      <w:r w:rsidRPr="007D102C">
        <w:rPr>
          <w:spacing w:val="0"/>
          <w:kern w:val="2"/>
        </w:rPr>
        <w:t xml:space="preserve"> of 3% or less than the purchase price of the goods or services provided by that vendor; or</w:t>
      </w:r>
    </w:p>
    <w:p w:rsidR="00F70F3E" w:rsidRPr="007D102C" w:rsidRDefault="00F70F3E" w:rsidP="0034722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pacing w:val="0"/>
          <w:kern w:val="2"/>
        </w:rPr>
      </w:pPr>
      <w:r w:rsidRPr="007D102C">
        <w:rPr>
          <w:spacing w:val="0"/>
          <w:kern w:val="2"/>
        </w:rPr>
        <w:t xml:space="preserve">In the event that the fee is not fixed at 3% or less of the purchase price of the goods or services, the agreement specifies the amount (or, if not known, </w:t>
      </w:r>
      <w:r w:rsidR="00F6476C" w:rsidRPr="007D102C">
        <w:rPr>
          <w:spacing w:val="0"/>
          <w:kern w:val="2"/>
        </w:rPr>
        <w:t xml:space="preserve">the maximum amount) that </w:t>
      </w:r>
      <w:r w:rsidRPr="007D102C">
        <w:rPr>
          <w:spacing w:val="0"/>
          <w:kern w:val="2"/>
        </w:rPr>
        <w:t>PCA</w:t>
      </w:r>
      <w:r w:rsidR="00F6476C" w:rsidRPr="007D102C">
        <w:rPr>
          <w:spacing w:val="0"/>
          <w:kern w:val="2"/>
        </w:rPr>
        <w:t>-HCCN</w:t>
      </w:r>
      <w:r w:rsidRPr="007D102C">
        <w:rPr>
          <w:spacing w:val="0"/>
          <w:kern w:val="2"/>
        </w:rPr>
        <w:t xml:space="preserve"> will be paid by the vendor (where such amount may be a fixed sum or fixed percentage of the value of </w:t>
      </w:r>
      <w:r w:rsidR="00367708" w:rsidRPr="007D102C">
        <w:rPr>
          <w:spacing w:val="0"/>
          <w:kern w:val="2"/>
        </w:rPr>
        <w:t>the</w:t>
      </w:r>
      <w:r w:rsidRPr="007D102C">
        <w:rPr>
          <w:spacing w:val="0"/>
          <w:kern w:val="2"/>
        </w:rPr>
        <w:t xml:space="preserve"> purchases made from the vendor by the members).</w:t>
      </w:r>
    </w:p>
    <w:p w:rsidR="00F70F3E" w:rsidRPr="007D102C" w:rsidRDefault="00F70F3E" w:rsidP="0034722D">
      <w:pPr>
        <w:tabs>
          <w:tab w:val="num" w:pos="1080"/>
        </w:tabs>
        <w:ind w:left="1080" w:hanging="360"/>
        <w:jc w:val="both"/>
        <w:rPr>
          <w:spacing w:val="0"/>
          <w:kern w:val="2"/>
        </w:rPr>
      </w:pPr>
      <w:bookmarkStart w:id="0" w:name="_GoBack"/>
      <w:bookmarkEnd w:id="0"/>
    </w:p>
    <w:p w:rsidR="00F70F3E" w:rsidRPr="007D102C" w:rsidRDefault="00F6476C" w:rsidP="00E962BC">
      <w:pPr>
        <w:numPr>
          <w:ilvl w:val="0"/>
          <w:numId w:val="1"/>
        </w:numPr>
        <w:jc w:val="both"/>
        <w:rPr>
          <w:spacing w:val="0"/>
          <w:kern w:val="2"/>
        </w:rPr>
      </w:pPr>
      <w:r w:rsidRPr="007D102C">
        <w:rPr>
          <w:spacing w:val="0"/>
          <w:kern w:val="2"/>
        </w:rPr>
        <w:t xml:space="preserve">In all cases, </w:t>
      </w:r>
      <w:r w:rsidR="00F70F3E" w:rsidRPr="007D102C">
        <w:rPr>
          <w:spacing w:val="0"/>
          <w:kern w:val="2"/>
        </w:rPr>
        <w:t>PCA</w:t>
      </w:r>
      <w:r w:rsidRPr="007D102C">
        <w:rPr>
          <w:spacing w:val="0"/>
          <w:kern w:val="2"/>
        </w:rPr>
        <w:t>-HCCN</w:t>
      </w:r>
      <w:r w:rsidR="00367708" w:rsidRPr="007D102C">
        <w:rPr>
          <w:spacing w:val="0"/>
          <w:kern w:val="2"/>
        </w:rPr>
        <w:t xml:space="preserve"> will disclose in writing to</w:t>
      </w:r>
      <w:r w:rsidR="00F70F3E" w:rsidRPr="007D102C">
        <w:rPr>
          <w:spacing w:val="0"/>
          <w:kern w:val="2"/>
        </w:rPr>
        <w:t xml:space="preserve"> each participating member at least annually, and to </w:t>
      </w:r>
      <w:r w:rsidR="00367708" w:rsidRPr="007D102C">
        <w:rPr>
          <w:spacing w:val="0"/>
          <w:kern w:val="2"/>
        </w:rPr>
        <w:t xml:space="preserve">the </w:t>
      </w:r>
      <w:r w:rsidR="00F70F3E" w:rsidRPr="007D102C">
        <w:rPr>
          <w:spacing w:val="0"/>
          <w:kern w:val="2"/>
        </w:rPr>
        <w:t>D</w:t>
      </w:r>
      <w:r w:rsidR="00367708" w:rsidRPr="007D102C">
        <w:rPr>
          <w:spacing w:val="0"/>
          <w:kern w:val="2"/>
        </w:rPr>
        <w:t xml:space="preserve">epartment of </w:t>
      </w:r>
      <w:r w:rsidR="00F70F3E" w:rsidRPr="007D102C">
        <w:rPr>
          <w:spacing w:val="0"/>
          <w:kern w:val="2"/>
        </w:rPr>
        <w:t>H</w:t>
      </w:r>
      <w:r w:rsidR="00367708" w:rsidRPr="007D102C">
        <w:rPr>
          <w:spacing w:val="0"/>
          <w:kern w:val="2"/>
        </w:rPr>
        <w:t xml:space="preserve">ealth and </w:t>
      </w:r>
      <w:r w:rsidR="00F70F3E" w:rsidRPr="007D102C">
        <w:rPr>
          <w:spacing w:val="0"/>
          <w:kern w:val="2"/>
        </w:rPr>
        <w:t>H</w:t>
      </w:r>
      <w:r w:rsidR="00367708" w:rsidRPr="007D102C">
        <w:rPr>
          <w:spacing w:val="0"/>
          <w:kern w:val="2"/>
        </w:rPr>
        <w:t xml:space="preserve">uman </w:t>
      </w:r>
      <w:r w:rsidR="00F70F3E" w:rsidRPr="007D102C">
        <w:rPr>
          <w:spacing w:val="0"/>
          <w:kern w:val="2"/>
        </w:rPr>
        <w:t>S</w:t>
      </w:r>
      <w:r w:rsidR="00367708" w:rsidRPr="007D102C">
        <w:rPr>
          <w:spacing w:val="0"/>
          <w:kern w:val="2"/>
        </w:rPr>
        <w:t>ervices</w:t>
      </w:r>
      <w:r w:rsidR="00F70F3E" w:rsidRPr="007D102C">
        <w:rPr>
          <w:spacing w:val="0"/>
          <w:kern w:val="2"/>
        </w:rPr>
        <w:t xml:space="preserve"> upon request, the amount </w:t>
      </w:r>
      <w:r w:rsidR="00F70F3E" w:rsidRPr="007D102C">
        <w:rPr>
          <w:spacing w:val="0"/>
          <w:kern w:val="2"/>
        </w:rPr>
        <w:lastRenderedPageBreak/>
        <w:t>received from each vendor with respect to purchases made by and on behalf of such member.</w:t>
      </w:r>
    </w:p>
    <w:p w:rsidR="00F70F3E" w:rsidRPr="007D102C" w:rsidRDefault="00F70F3E" w:rsidP="00E962BC">
      <w:pPr>
        <w:pStyle w:val="BodyText"/>
        <w:jc w:val="both"/>
        <w:rPr>
          <w:b/>
          <w:bCs w:val="0"/>
          <w:iCs/>
          <w:spacing w:val="0"/>
          <w:kern w:val="2"/>
          <w:sz w:val="24"/>
        </w:rPr>
      </w:pPr>
    </w:p>
    <w:p w:rsidR="00ED3F77" w:rsidRPr="007D102C" w:rsidRDefault="00B07708" w:rsidP="00E962BC">
      <w:pPr>
        <w:jc w:val="both"/>
        <w:rPr>
          <w:b/>
          <w:spacing w:val="0"/>
          <w:kern w:val="2"/>
        </w:rPr>
      </w:pPr>
      <w:r w:rsidRPr="007D102C">
        <w:rPr>
          <w:b/>
          <w:spacing w:val="0"/>
          <w:kern w:val="2"/>
        </w:rPr>
        <w:t>This policy and procedure shall be periodically reviewed and updated consistent with the requirements and standards established b</w:t>
      </w:r>
      <w:r w:rsidR="00F6476C" w:rsidRPr="007D102C">
        <w:rPr>
          <w:b/>
          <w:spacing w:val="0"/>
          <w:kern w:val="2"/>
        </w:rPr>
        <w:t xml:space="preserve">y the Board of Directors and </w:t>
      </w:r>
      <w:r w:rsidRPr="007D102C">
        <w:rPr>
          <w:b/>
          <w:spacing w:val="0"/>
          <w:kern w:val="2"/>
        </w:rPr>
        <w:t>PCA</w:t>
      </w:r>
      <w:r w:rsidR="00F6476C" w:rsidRPr="007D102C">
        <w:rPr>
          <w:b/>
          <w:spacing w:val="0"/>
          <w:kern w:val="2"/>
        </w:rPr>
        <w:t>-HCCN</w:t>
      </w:r>
      <w:r w:rsidR="00ED3F77" w:rsidRPr="007D102C">
        <w:rPr>
          <w:b/>
          <w:spacing w:val="0"/>
          <w:kern w:val="2"/>
        </w:rPr>
        <w:t xml:space="preserve"> management, </w:t>
      </w:r>
      <w:r w:rsidRPr="007D102C">
        <w:rPr>
          <w:b/>
          <w:spacing w:val="0"/>
          <w:kern w:val="2"/>
        </w:rPr>
        <w:t>federal and state laws and regulations</w:t>
      </w:r>
      <w:r w:rsidR="00ED3F77" w:rsidRPr="007D102C">
        <w:rPr>
          <w:b/>
          <w:spacing w:val="0"/>
          <w:kern w:val="2"/>
        </w:rPr>
        <w:t>, and applicable accrediting and review organizations.</w:t>
      </w:r>
    </w:p>
    <w:p w:rsidR="00ED3F77" w:rsidRPr="007D102C" w:rsidRDefault="00ED3F77" w:rsidP="00E962BC">
      <w:pPr>
        <w:jc w:val="both"/>
        <w:rPr>
          <w:spacing w:val="0"/>
          <w:kern w:val="2"/>
        </w:rPr>
      </w:pPr>
    </w:p>
    <w:p w:rsidR="00B07708" w:rsidRPr="007D102C" w:rsidRDefault="00B07708" w:rsidP="00E962BC">
      <w:pPr>
        <w:jc w:val="both"/>
        <w:rPr>
          <w:b/>
          <w:spacing w:val="0"/>
          <w:kern w:val="2"/>
        </w:rPr>
      </w:pPr>
      <w:r w:rsidRPr="007D102C">
        <w:rPr>
          <w:b/>
          <w:spacing w:val="0"/>
          <w:kern w:val="2"/>
        </w:rPr>
        <w:t xml:space="preserve">Responsible </w:t>
      </w:r>
      <w:r w:rsidR="00ED3F77" w:rsidRPr="007D102C">
        <w:rPr>
          <w:b/>
          <w:spacing w:val="0"/>
          <w:kern w:val="2"/>
        </w:rPr>
        <w:t>p</w:t>
      </w:r>
      <w:r w:rsidRPr="007D102C">
        <w:rPr>
          <w:b/>
          <w:spacing w:val="0"/>
          <w:kern w:val="2"/>
        </w:rPr>
        <w:t>arties:</w:t>
      </w:r>
    </w:p>
    <w:p w:rsidR="00B07708" w:rsidRPr="007D102C" w:rsidRDefault="00B07708" w:rsidP="00E962BC">
      <w:pPr>
        <w:jc w:val="both"/>
        <w:rPr>
          <w:b/>
          <w:spacing w:val="0"/>
          <w:kern w:val="2"/>
        </w:rPr>
      </w:pPr>
    </w:p>
    <w:p w:rsidR="00B07708" w:rsidRPr="007D102C" w:rsidRDefault="00B07708" w:rsidP="00E962BC">
      <w:pPr>
        <w:pStyle w:val="Heading3"/>
        <w:rPr>
          <w:b/>
          <w:kern w:val="2"/>
          <w:szCs w:val="24"/>
        </w:rPr>
      </w:pPr>
      <w:r w:rsidRPr="007D102C">
        <w:rPr>
          <w:kern w:val="2"/>
          <w:szCs w:val="24"/>
        </w:rPr>
        <w:t>Signature</w:t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  <w:t>Date</w:t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</w:p>
    <w:p w:rsidR="00B07708" w:rsidRPr="007D102C" w:rsidRDefault="00B07708" w:rsidP="00E962BC">
      <w:pPr>
        <w:pStyle w:val="Heading3"/>
        <w:rPr>
          <w:kern w:val="2"/>
          <w:szCs w:val="24"/>
          <w:u w:val="none"/>
        </w:rPr>
      </w:pPr>
      <w:r w:rsidRPr="007D102C">
        <w:rPr>
          <w:kern w:val="2"/>
          <w:szCs w:val="24"/>
          <w:u w:val="none"/>
        </w:rPr>
        <w:t>Executive Director</w:t>
      </w:r>
    </w:p>
    <w:p w:rsidR="00B07708" w:rsidRPr="007D102C" w:rsidRDefault="00B07708" w:rsidP="00E962BC">
      <w:pPr>
        <w:jc w:val="both"/>
        <w:rPr>
          <w:spacing w:val="0"/>
          <w:kern w:val="2"/>
        </w:rPr>
      </w:pPr>
    </w:p>
    <w:p w:rsidR="0000738F" w:rsidRPr="007D102C" w:rsidRDefault="00B07708" w:rsidP="00E962BC">
      <w:pPr>
        <w:pStyle w:val="Heading3"/>
        <w:rPr>
          <w:bCs/>
          <w:kern w:val="2"/>
          <w:u w:val="none"/>
        </w:rPr>
      </w:pPr>
      <w:r w:rsidRPr="007D102C">
        <w:rPr>
          <w:kern w:val="2"/>
          <w:szCs w:val="24"/>
        </w:rPr>
        <w:t>Signature</w:t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  <w:t>Date</w:t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  <w:r w:rsidRPr="007D102C">
        <w:rPr>
          <w:kern w:val="2"/>
          <w:szCs w:val="24"/>
        </w:rPr>
        <w:tab/>
      </w:r>
    </w:p>
    <w:sectPr w:rsidR="0000738F" w:rsidRPr="007D102C" w:rsidSect="00E962BC">
      <w:headerReference w:type="default" r:id="rId9"/>
      <w:footerReference w:type="default" r:id="rId10"/>
      <w:pgSz w:w="12240" w:h="15840" w:code="1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C1" w:rsidRDefault="00B21AC1" w:rsidP="00B21AC1">
      <w:r>
        <w:separator/>
      </w:r>
    </w:p>
  </w:endnote>
  <w:endnote w:type="continuationSeparator" w:id="0">
    <w:p w:rsidR="00B21AC1" w:rsidRDefault="00B21AC1" w:rsidP="00B2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1" w:rsidRPr="00B07708" w:rsidRDefault="00B21AC1" w:rsidP="00B21AC1">
    <w:pPr>
      <w:pBdr>
        <w:bottom w:val="single" w:sz="12" w:space="0" w:color="auto"/>
      </w:pBdr>
      <w:rPr>
        <w:rFonts w:eastAsia="Calibri"/>
        <w:bCs w:val="0"/>
        <w:sz w:val="20"/>
        <w:szCs w:val="20"/>
      </w:rPr>
    </w:pPr>
    <w:r>
      <w:tab/>
    </w:r>
  </w:p>
  <w:p w:rsidR="00B21AC1" w:rsidRPr="006B59DD" w:rsidRDefault="00B21AC1" w:rsidP="00B21AC1">
    <w:pPr>
      <w:tabs>
        <w:tab w:val="left" w:pos="2340"/>
      </w:tabs>
      <w:jc w:val="center"/>
      <w:rPr>
        <w:rFonts w:eastAsia="Calibri"/>
        <w:bCs w:val="0"/>
        <w:sz w:val="20"/>
        <w:szCs w:val="20"/>
      </w:rPr>
    </w:pPr>
  </w:p>
  <w:p w:rsidR="00B07708" w:rsidRPr="007D102C" w:rsidRDefault="00F74511" w:rsidP="00B07708">
    <w:pPr>
      <w:tabs>
        <w:tab w:val="left" w:pos="2340"/>
      </w:tabs>
      <w:jc w:val="center"/>
      <w:rPr>
        <w:spacing w:val="0"/>
        <w:kern w:val="2"/>
        <w:sz w:val="20"/>
        <w:szCs w:val="20"/>
      </w:rPr>
    </w:pPr>
    <w:r w:rsidRPr="007D102C">
      <w:rPr>
        <w:spacing w:val="0"/>
        <w:kern w:val="2"/>
        <w:sz w:val="20"/>
        <w:szCs w:val="20"/>
      </w:rPr>
      <w:t>The</w:t>
    </w:r>
    <w:r w:rsidR="00CF1C01" w:rsidRPr="007D102C">
      <w:rPr>
        <w:spacing w:val="0"/>
        <w:kern w:val="2"/>
        <w:sz w:val="20"/>
        <w:szCs w:val="20"/>
      </w:rPr>
      <w:t xml:space="preserve"> Corporate </w:t>
    </w:r>
    <w:r w:rsidR="00B07708" w:rsidRPr="007D102C">
      <w:rPr>
        <w:spacing w:val="0"/>
        <w:kern w:val="2"/>
        <w:sz w:val="20"/>
        <w:szCs w:val="20"/>
      </w:rPr>
      <w:t>Compliance Toolkit</w:t>
    </w:r>
    <w:r w:rsidR="00CF1C01" w:rsidRPr="007D102C">
      <w:rPr>
        <w:spacing w:val="0"/>
        <w:kern w:val="2"/>
        <w:sz w:val="20"/>
        <w:szCs w:val="20"/>
      </w:rPr>
      <w:t xml:space="preserve"> for PCAs-HCCNs</w:t>
    </w:r>
  </w:p>
  <w:p w:rsidR="00B07708" w:rsidRPr="007D102C" w:rsidRDefault="00CF1C01" w:rsidP="00B07708">
    <w:pPr>
      <w:tabs>
        <w:tab w:val="left" w:pos="2340"/>
      </w:tabs>
      <w:jc w:val="center"/>
      <w:rPr>
        <w:spacing w:val="0"/>
        <w:kern w:val="2"/>
        <w:sz w:val="20"/>
        <w:szCs w:val="20"/>
      </w:rPr>
    </w:pPr>
    <w:r w:rsidRPr="007D102C">
      <w:rPr>
        <w:spacing w:val="0"/>
        <w:kern w:val="2"/>
        <w:sz w:val="20"/>
        <w:szCs w:val="20"/>
        <w:lang w:val="de-DE"/>
      </w:rPr>
      <w:t>© 2015</w:t>
    </w:r>
    <w:r w:rsidR="00B07708" w:rsidRPr="007D102C">
      <w:rPr>
        <w:spacing w:val="0"/>
        <w:kern w:val="2"/>
        <w:sz w:val="20"/>
        <w:szCs w:val="20"/>
        <w:lang w:val="de-DE"/>
      </w:rPr>
      <w:t xml:space="preserve"> </w:t>
    </w:r>
    <w:r w:rsidR="00B07708" w:rsidRPr="007D102C">
      <w:rPr>
        <w:spacing w:val="0"/>
        <w:kern w:val="2"/>
        <w:sz w:val="20"/>
        <w:szCs w:val="20"/>
      </w:rPr>
      <w:t>National Association of Community Health Centers, Inc.</w:t>
    </w:r>
  </w:p>
  <w:p w:rsidR="00B07708" w:rsidRPr="007D102C" w:rsidRDefault="00B07708" w:rsidP="00B07708">
    <w:pPr>
      <w:tabs>
        <w:tab w:val="left" w:pos="2340"/>
      </w:tabs>
      <w:jc w:val="center"/>
      <w:rPr>
        <w:spacing w:val="0"/>
        <w:kern w:val="2"/>
        <w:sz w:val="20"/>
        <w:szCs w:val="20"/>
        <w:lang w:val="de-DE"/>
      </w:rPr>
    </w:pPr>
    <w:r w:rsidRPr="007D102C">
      <w:rPr>
        <w:spacing w:val="0"/>
        <w:kern w:val="2"/>
        <w:sz w:val="20"/>
        <w:szCs w:val="20"/>
        <w:lang w:val="de-DE"/>
      </w:rPr>
      <w:t>and Feldesman Tucker Leifer Fidell LLP</w:t>
    </w:r>
  </w:p>
  <w:p w:rsidR="00B07708" w:rsidRPr="007D102C" w:rsidRDefault="00B07708" w:rsidP="00B07708">
    <w:pPr>
      <w:tabs>
        <w:tab w:val="left" w:pos="2340"/>
      </w:tabs>
      <w:jc w:val="center"/>
      <w:rPr>
        <w:spacing w:val="0"/>
        <w:kern w:val="2"/>
        <w:sz w:val="20"/>
        <w:szCs w:val="20"/>
        <w:lang w:val="de-DE"/>
      </w:rPr>
    </w:pPr>
  </w:p>
  <w:p w:rsidR="00B21AC1" w:rsidRPr="00B21AC1" w:rsidRDefault="00B07708" w:rsidP="00B07708">
    <w:pPr>
      <w:tabs>
        <w:tab w:val="left" w:pos="2340"/>
      </w:tabs>
      <w:jc w:val="center"/>
      <w:rPr>
        <w:rFonts w:eastAsia="Calibri"/>
        <w:sz w:val="20"/>
        <w:szCs w:val="20"/>
        <w:lang w:val="de-DE"/>
      </w:rPr>
    </w:pPr>
    <w:r w:rsidRPr="00503CAA">
      <w:rPr>
        <w:rStyle w:val="PageNumber"/>
        <w:sz w:val="20"/>
        <w:szCs w:val="20"/>
      </w:rPr>
      <w:fldChar w:fldCharType="begin"/>
    </w:r>
    <w:r w:rsidRPr="00503CAA">
      <w:rPr>
        <w:rStyle w:val="PageNumber"/>
        <w:sz w:val="20"/>
        <w:szCs w:val="20"/>
      </w:rPr>
      <w:instrText xml:space="preserve"> PAGE </w:instrText>
    </w:r>
    <w:r w:rsidRPr="00503CAA">
      <w:rPr>
        <w:rStyle w:val="PageNumber"/>
        <w:sz w:val="20"/>
        <w:szCs w:val="20"/>
      </w:rPr>
      <w:fldChar w:fldCharType="separate"/>
    </w:r>
    <w:r w:rsidR="0034722D">
      <w:rPr>
        <w:rStyle w:val="PageNumber"/>
        <w:noProof/>
        <w:sz w:val="20"/>
        <w:szCs w:val="20"/>
      </w:rPr>
      <w:t>1</w:t>
    </w:r>
    <w:r w:rsidRPr="00503C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C1" w:rsidRDefault="00B21AC1" w:rsidP="00B21AC1">
      <w:r>
        <w:separator/>
      </w:r>
    </w:p>
  </w:footnote>
  <w:footnote w:type="continuationSeparator" w:id="0">
    <w:p w:rsidR="00B21AC1" w:rsidRDefault="00B21AC1" w:rsidP="00B21AC1">
      <w:r>
        <w:continuationSeparator/>
      </w:r>
    </w:p>
  </w:footnote>
  <w:footnote w:id="1">
    <w:p w:rsidR="00B07708" w:rsidRPr="007D102C" w:rsidRDefault="00B07708" w:rsidP="00E962BC">
      <w:pPr>
        <w:pStyle w:val="FootnoteText"/>
        <w:ind w:left="360" w:hanging="360"/>
        <w:rPr>
          <w:spacing w:val="0"/>
          <w:kern w:val="2"/>
        </w:rPr>
      </w:pPr>
      <w:r>
        <w:rPr>
          <w:rStyle w:val="FootnoteReference"/>
        </w:rPr>
        <w:footnoteRef/>
      </w:r>
      <w:r>
        <w:t xml:space="preserve"> </w:t>
      </w:r>
      <w:r w:rsidR="00E962BC">
        <w:tab/>
      </w:r>
      <w:r w:rsidRPr="007D102C">
        <w:rPr>
          <w:spacing w:val="0"/>
          <w:kern w:val="2"/>
        </w:rPr>
        <w:t>The Authors of these materials include attorneys at the law firm of Feldesman Tucker Leifer Fidell LLP.  The sample documents offer general guidance based</w:t>
      </w:r>
      <w:r w:rsidR="00F74511" w:rsidRPr="007D102C">
        <w:rPr>
          <w:spacing w:val="0"/>
          <w:kern w:val="2"/>
        </w:rPr>
        <w:t xml:space="preserve"> on federal law and regulations</w:t>
      </w:r>
      <w:r w:rsidRPr="007D102C">
        <w:rPr>
          <w:spacing w:val="0"/>
          <w:kern w:val="2"/>
        </w:rPr>
        <w:t xml:space="preserve"> and do </w:t>
      </w:r>
      <w:r w:rsidR="00027A0B" w:rsidRPr="007D102C">
        <w:rPr>
          <w:spacing w:val="0"/>
          <w:kern w:val="2"/>
        </w:rPr>
        <w:t xml:space="preserve">not necessarily apply to all </w:t>
      </w:r>
      <w:r w:rsidRPr="007D102C">
        <w:rPr>
          <w:spacing w:val="0"/>
          <w:kern w:val="2"/>
        </w:rPr>
        <w:t>PCAs</w:t>
      </w:r>
      <w:r w:rsidR="00027A0B" w:rsidRPr="007D102C">
        <w:rPr>
          <w:spacing w:val="0"/>
          <w:kern w:val="2"/>
        </w:rPr>
        <w:t>-HCCNs</w:t>
      </w:r>
      <w:r w:rsidRPr="007D102C">
        <w:rPr>
          <w:spacing w:val="0"/>
          <w:kern w:val="2"/>
        </w:rPr>
        <w:t xml:space="preserve"> under all facts and circumstances.  Further, these materials do not replace, and are not a substitute for, legal advice from qualified legal counsel.</w:t>
      </w:r>
    </w:p>
  </w:footnote>
  <w:footnote w:id="2">
    <w:p w:rsidR="00673DE6" w:rsidRPr="007D102C" w:rsidRDefault="00673DE6" w:rsidP="00E962BC">
      <w:pPr>
        <w:pStyle w:val="FootnoteText"/>
        <w:ind w:left="360" w:hanging="360"/>
        <w:rPr>
          <w:spacing w:val="0"/>
          <w:kern w:val="2"/>
        </w:rPr>
      </w:pPr>
      <w:r w:rsidRPr="007D102C">
        <w:rPr>
          <w:rStyle w:val="FootnoteReference"/>
          <w:spacing w:val="0"/>
          <w:kern w:val="2"/>
        </w:rPr>
        <w:footnoteRef/>
      </w:r>
      <w:r w:rsidRPr="007D102C">
        <w:rPr>
          <w:spacing w:val="0"/>
          <w:kern w:val="2"/>
        </w:rPr>
        <w:t xml:space="preserve"> </w:t>
      </w:r>
      <w:r w:rsidR="00E962BC" w:rsidRPr="007D102C">
        <w:rPr>
          <w:spacing w:val="0"/>
          <w:kern w:val="2"/>
        </w:rPr>
        <w:tab/>
      </w:r>
      <w:r w:rsidRPr="007D102C">
        <w:rPr>
          <w:spacing w:val="0"/>
          <w:kern w:val="2"/>
        </w:rPr>
        <w:t>42 U.S.C. § 1320-7b(b).</w:t>
      </w:r>
    </w:p>
  </w:footnote>
  <w:footnote w:id="3">
    <w:p w:rsidR="00B21AC1" w:rsidRPr="007D102C" w:rsidRDefault="00B21AC1" w:rsidP="00E962BC">
      <w:pPr>
        <w:pStyle w:val="FootnoteText"/>
        <w:ind w:left="360" w:hanging="360"/>
        <w:rPr>
          <w:spacing w:val="0"/>
          <w:kern w:val="2"/>
        </w:rPr>
      </w:pPr>
      <w:r w:rsidRPr="007D102C">
        <w:rPr>
          <w:rStyle w:val="FootnoteReference"/>
          <w:spacing w:val="0"/>
          <w:kern w:val="2"/>
        </w:rPr>
        <w:footnoteRef/>
      </w:r>
      <w:r w:rsidRPr="007D102C">
        <w:rPr>
          <w:spacing w:val="0"/>
          <w:kern w:val="2"/>
        </w:rPr>
        <w:t xml:space="preserve"> </w:t>
      </w:r>
      <w:r w:rsidR="00E962BC" w:rsidRPr="007D102C">
        <w:rPr>
          <w:spacing w:val="0"/>
          <w:kern w:val="2"/>
        </w:rPr>
        <w:tab/>
      </w:r>
      <w:r w:rsidR="00367708" w:rsidRPr="007D102C">
        <w:rPr>
          <w:spacing w:val="0"/>
          <w:kern w:val="2"/>
        </w:rPr>
        <w:t xml:space="preserve">Authors’ note: Using the following sample </w:t>
      </w:r>
      <w:r w:rsidR="00027A0B" w:rsidRPr="007D102C">
        <w:rPr>
          <w:spacing w:val="0"/>
          <w:kern w:val="2"/>
        </w:rPr>
        <w:t xml:space="preserve">as a guide, </w:t>
      </w:r>
      <w:r w:rsidR="00367708" w:rsidRPr="007D102C">
        <w:rPr>
          <w:spacing w:val="0"/>
          <w:kern w:val="2"/>
        </w:rPr>
        <w:t>PCA</w:t>
      </w:r>
      <w:r w:rsidR="00027A0B" w:rsidRPr="007D102C">
        <w:rPr>
          <w:spacing w:val="0"/>
          <w:kern w:val="2"/>
        </w:rPr>
        <w:t>-HCCN</w:t>
      </w:r>
      <w:r w:rsidR="00367708" w:rsidRPr="007D102C">
        <w:rPr>
          <w:spacing w:val="0"/>
          <w:kern w:val="2"/>
        </w:rPr>
        <w:t>s should tailor the procedure to reflect their own structures and operations.</w:t>
      </w:r>
    </w:p>
  </w:footnote>
  <w:footnote w:id="4">
    <w:p w:rsidR="00092EC9" w:rsidRPr="007D102C" w:rsidRDefault="00092EC9" w:rsidP="00E962BC">
      <w:pPr>
        <w:pStyle w:val="FootnoteText"/>
        <w:ind w:left="360" w:hanging="360"/>
        <w:rPr>
          <w:spacing w:val="0"/>
          <w:kern w:val="2"/>
        </w:rPr>
      </w:pPr>
      <w:r w:rsidRPr="007D102C">
        <w:rPr>
          <w:rStyle w:val="FootnoteReference"/>
          <w:spacing w:val="0"/>
          <w:kern w:val="2"/>
        </w:rPr>
        <w:footnoteRef/>
      </w:r>
      <w:r w:rsidRPr="007D102C">
        <w:rPr>
          <w:spacing w:val="0"/>
          <w:kern w:val="2"/>
        </w:rPr>
        <w:t xml:space="preserve"> </w:t>
      </w:r>
      <w:r w:rsidR="00E962BC" w:rsidRPr="007D102C">
        <w:rPr>
          <w:spacing w:val="0"/>
          <w:kern w:val="2"/>
        </w:rPr>
        <w:tab/>
      </w:r>
      <w:r w:rsidRPr="007D102C">
        <w:rPr>
          <w:spacing w:val="0"/>
          <w:kern w:val="2"/>
        </w:rPr>
        <w:t>42 C.F.R. § 1001.952(j).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1" w:rsidRDefault="00B21AC1" w:rsidP="00B21AC1">
    <w:pPr>
      <w:jc w:val="center"/>
      <w:rPr>
        <w:sz w:val="20"/>
      </w:rPr>
    </w:pPr>
    <w:r>
      <w:rPr>
        <w:sz w:val="20"/>
      </w:rPr>
      <w:t>V</w:t>
    </w:r>
    <w:r w:rsidR="00CF1C01">
      <w:rPr>
        <w:sz w:val="20"/>
      </w:rPr>
      <w:t xml:space="preserve">olume II: </w:t>
    </w:r>
    <w:r>
      <w:rPr>
        <w:sz w:val="20"/>
      </w:rPr>
      <w:t>PCA</w:t>
    </w:r>
    <w:r w:rsidR="00CF1C01">
      <w:rPr>
        <w:sz w:val="20"/>
      </w:rPr>
      <w:t>-HCCN</w:t>
    </w:r>
    <w:r>
      <w:rPr>
        <w:sz w:val="20"/>
      </w:rPr>
      <w:t xml:space="preserve"> Risk Areas</w:t>
    </w:r>
  </w:p>
  <w:p w:rsidR="00B21AC1" w:rsidRDefault="00B21AC1" w:rsidP="00B21AC1">
    <w:pPr>
      <w:pBdr>
        <w:bottom w:val="single" w:sz="12" w:space="0" w:color="auto"/>
      </w:pBdr>
      <w:jc w:val="center"/>
      <w:rPr>
        <w:sz w:val="20"/>
      </w:rPr>
    </w:pPr>
    <w:r>
      <w:rPr>
        <w:sz w:val="20"/>
      </w:rPr>
      <w:t>Product Development</w:t>
    </w:r>
  </w:p>
  <w:p w:rsidR="00B21AC1" w:rsidRPr="00F354EE" w:rsidRDefault="00B21AC1" w:rsidP="00B21AC1">
    <w:pPr>
      <w:pBdr>
        <w:bottom w:val="single" w:sz="12" w:space="0" w:color="auto"/>
      </w:pBdr>
      <w:jc w:val="center"/>
      <w:rPr>
        <w:sz w:val="20"/>
      </w:rPr>
    </w:pPr>
  </w:p>
  <w:p w:rsidR="00B21AC1" w:rsidRDefault="00B21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A6746"/>
    <w:multiLevelType w:val="hybridMultilevel"/>
    <w:tmpl w:val="828CC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3E"/>
    <w:rsid w:val="0000738F"/>
    <w:rsid w:val="00027A0B"/>
    <w:rsid w:val="00092EC9"/>
    <w:rsid w:val="000B4285"/>
    <w:rsid w:val="00186080"/>
    <w:rsid w:val="002257D0"/>
    <w:rsid w:val="00235D7B"/>
    <w:rsid w:val="002B517F"/>
    <w:rsid w:val="00324D3D"/>
    <w:rsid w:val="0034722D"/>
    <w:rsid w:val="0036018B"/>
    <w:rsid w:val="00367708"/>
    <w:rsid w:val="00402749"/>
    <w:rsid w:val="00425550"/>
    <w:rsid w:val="004338E2"/>
    <w:rsid w:val="005C0006"/>
    <w:rsid w:val="005F1106"/>
    <w:rsid w:val="00620E00"/>
    <w:rsid w:val="00637198"/>
    <w:rsid w:val="00673DE6"/>
    <w:rsid w:val="006B17FF"/>
    <w:rsid w:val="007116C2"/>
    <w:rsid w:val="007625CD"/>
    <w:rsid w:val="007D102C"/>
    <w:rsid w:val="007F6206"/>
    <w:rsid w:val="008A7438"/>
    <w:rsid w:val="00914D44"/>
    <w:rsid w:val="00920444"/>
    <w:rsid w:val="00947EDD"/>
    <w:rsid w:val="00957401"/>
    <w:rsid w:val="009717E2"/>
    <w:rsid w:val="00B07708"/>
    <w:rsid w:val="00B21AC1"/>
    <w:rsid w:val="00BD23E9"/>
    <w:rsid w:val="00C374E6"/>
    <w:rsid w:val="00CF1C01"/>
    <w:rsid w:val="00D02674"/>
    <w:rsid w:val="00D503B5"/>
    <w:rsid w:val="00DA5DD4"/>
    <w:rsid w:val="00DB2F67"/>
    <w:rsid w:val="00E251B3"/>
    <w:rsid w:val="00E962BC"/>
    <w:rsid w:val="00ED3F77"/>
    <w:rsid w:val="00F50BFA"/>
    <w:rsid w:val="00F6476C"/>
    <w:rsid w:val="00F70F3E"/>
    <w:rsid w:val="00F74511"/>
    <w:rsid w:val="00F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3E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0F3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F70F3E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F70F3E"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70F3E"/>
    <w:pPr>
      <w:keepNext/>
      <w:ind w:firstLine="3600"/>
      <w:outlineLvl w:val="3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70F3E"/>
    <w:rPr>
      <w:rFonts w:ascii="Times New Roman" w:eastAsia="Times New Roman" w:hAnsi="Times New Roman" w:cs="Times New Roman"/>
      <w:bCs/>
      <w:spacing w:val="-3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70F3E"/>
    <w:rPr>
      <w:rFonts w:ascii="Times New Roman" w:eastAsia="Times New Roman" w:hAnsi="Times New Roman" w:cs="Times New Roman"/>
      <w:bCs/>
      <w:spacing w:val="-3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F70F3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70F3E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F70F3E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F70F3E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customStyle="1" w:styleId="3">
    <w:name w:val="3)"/>
    <w:basedOn w:val="Normal"/>
    <w:rsid w:val="00F70F3E"/>
    <w:pPr>
      <w:jc w:val="both"/>
    </w:pPr>
    <w:rPr>
      <w:bCs w:val="0"/>
      <w:spacing w:val="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21A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AC1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21A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C1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C1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C1"/>
    <w:rPr>
      <w:rFonts w:ascii="Tahoma" w:eastAsia="Times New Roman" w:hAnsi="Tahoma" w:cs="Tahoma"/>
      <w:bCs/>
      <w:spacing w:val="-3"/>
      <w:sz w:val="16"/>
      <w:szCs w:val="16"/>
    </w:rPr>
  </w:style>
  <w:style w:type="character" w:styleId="PageNumber">
    <w:name w:val="page number"/>
    <w:semiHidden/>
    <w:unhideWhenUsed/>
    <w:rsid w:val="00B07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3E"/>
    <w:pPr>
      <w:spacing w:after="0" w:line="240" w:lineRule="auto"/>
    </w:pPr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0F3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F70F3E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F70F3E"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70F3E"/>
    <w:pPr>
      <w:keepNext/>
      <w:ind w:firstLine="3600"/>
      <w:outlineLvl w:val="3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70F3E"/>
    <w:rPr>
      <w:rFonts w:ascii="Times New Roman" w:eastAsia="Times New Roman" w:hAnsi="Times New Roman" w:cs="Times New Roman"/>
      <w:bCs/>
      <w:spacing w:val="-3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70F3E"/>
    <w:rPr>
      <w:rFonts w:ascii="Times New Roman" w:eastAsia="Times New Roman" w:hAnsi="Times New Roman" w:cs="Times New Roman"/>
      <w:bCs/>
      <w:spacing w:val="-3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F70F3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70F3E"/>
    <w:rPr>
      <w:rFonts w:ascii="Times New Roman" w:eastAsia="Times New Roman" w:hAnsi="Times New Roman" w:cs="Times New Roman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F70F3E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rsid w:val="00F70F3E"/>
    <w:rPr>
      <w:rFonts w:ascii="Times New Roman" w:eastAsia="Times New Roman" w:hAnsi="Times New Roman" w:cs="Times New Roman"/>
      <w:bCs/>
      <w:spacing w:val="-3"/>
      <w:sz w:val="48"/>
      <w:szCs w:val="24"/>
    </w:rPr>
  </w:style>
  <w:style w:type="paragraph" w:customStyle="1" w:styleId="3">
    <w:name w:val="3)"/>
    <w:basedOn w:val="Normal"/>
    <w:rsid w:val="00F70F3E"/>
    <w:pPr>
      <w:jc w:val="both"/>
    </w:pPr>
    <w:rPr>
      <w:bCs w:val="0"/>
      <w:spacing w:val="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21A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AC1"/>
    <w:rPr>
      <w:rFonts w:ascii="Times New Roman" w:eastAsia="Times New Roman" w:hAnsi="Times New Roman" w:cs="Times New Roman"/>
      <w:bCs/>
      <w:spacing w:val="-3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21A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1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C1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C1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C1"/>
    <w:rPr>
      <w:rFonts w:ascii="Tahoma" w:eastAsia="Times New Roman" w:hAnsi="Tahoma" w:cs="Tahoma"/>
      <w:bCs/>
      <w:spacing w:val="-3"/>
      <w:sz w:val="16"/>
      <w:szCs w:val="16"/>
    </w:rPr>
  </w:style>
  <w:style w:type="character" w:styleId="PageNumber">
    <w:name w:val="page number"/>
    <w:semiHidden/>
    <w:unhideWhenUsed/>
    <w:rsid w:val="00B0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4BAC-4A4F-4A28-B55D-4E47B6A2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Adam J.</dc:creator>
  <cp:lastModifiedBy>Zimbro, Karen</cp:lastModifiedBy>
  <cp:revision>4</cp:revision>
  <cp:lastPrinted>2015-11-09T14:35:00Z</cp:lastPrinted>
  <dcterms:created xsi:type="dcterms:W3CDTF">2015-11-09T14:34:00Z</dcterms:created>
  <dcterms:modified xsi:type="dcterms:W3CDTF">2015-11-09T14:38:00Z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oFAAC41Wbh9etaXz3FhwUZBWSsopAF15tMOdAwdtrbi2DXOx201EpACas/ug20a2G+BgM2M57y1ezrXX
nnaVwG83GYXXKOsPvfiexdkQrsH/S87VmEE4Zb4YWlgnKbCG6bn0HdVKcyRhUA0uxSOJASMO+VVD
E1Pk2tKE0fPIQowp8p9jDSUDKTV+0+pRtyVenkSioANlQFgQGBignYsCXU8b9mlUqPBKumq9BC3U
RZLsrX88h5nqX+zGJ</vt:lpwstr>
  </property>
  <property fmtid="{D5CDD505-2E9C-101B-9397-08002B2CF9AE}" pid="3" name="MAIL_MSG_ID2">
    <vt:lpwstr>OY4aBA/i+J00jxeqi2Uf/bvszFCGpry2Na6zz6eLdRCCwx8bOAIDifzHjBy
ymG1Xm3LTOQv5vA+s5qlHMhSUkZwXK+JTYoYXWz+SnPdyikQ</vt:lpwstr>
  </property>
  <property fmtid="{D5CDD505-2E9C-101B-9397-08002B2CF9AE}" pid="4" name="RESPONSE_SENDER_NAME">
    <vt:lpwstr>sAAAXRTqSjcrLAr0R8LCeydCfcJ8xP4bRNa171C5XELfDoo=</vt:lpwstr>
  </property>
  <property fmtid="{D5CDD505-2E9C-101B-9397-08002B2CF9AE}" pid="5" name="EMAIL_OWNER_ADDRESS">
    <vt:lpwstr>ABAAv4tRYjpfjUu1+j/uFotJEuMe1WoAMqXgoMqwyF8zSGTbsw+p9g2TvXztO5Rd80Lp</vt:lpwstr>
  </property>
</Properties>
</file>