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FD" w:rsidRPr="001F116B" w:rsidRDefault="008E56FD" w:rsidP="008E56FD">
      <w:pPr>
        <w:jc w:val="center"/>
        <w:rPr>
          <w:b/>
          <w:bCs w:val="0"/>
          <w:spacing w:val="0"/>
          <w:kern w:val="2"/>
          <w:sz w:val="32"/>
          <w:szCs w:val="32"/>
        </w:rPr>
      </w:pPr>
      <w:r w:rsidRPr="001F116B">
        <w:rPr>
          <w:b/>
          <w:bCs w:val="0"/>
          <w:spacing w:val="0"/>
          <w:kern w:val="2"/>
          <w:sz w:val="32"/>
          <w:szCs w:val="32"/>
        </w:rPr>
        <w:t>Group Purchasing Programs</w:t>
      </w:r>
      <w:r w:rsidR="00100E51" w:rsidRPr="001F116B">
        <w:rPr>
          <w:b/>
          <w:bCs w:val="0"/>
          <w:spacing w:val="0"/>
          <w:kern w:val="2"/>
          <w:sz w:val="32"/>
          <w:szCs w:val="32"/>
        </w:rPr>
        <w:t>: Introductory Guidance</w:t>
      </w:r>
    </w:p>
    <w:p w:rsidR="008E56FD" w:rsidRPr="001F116B" w:rsidRDefault="008E56FD" w:rsidP="008E56FD">
      <w:pPr>
        <w:pBdr>
          <w:bottom w:val="single" w:sz="12" w:space="1" w:color="auto"/>
        </w:pBdr>
        <w:autoSpaceDE w:val="0"/>
        <w:autoSpaceDN w:val="0"/>
        <w:adjustRightInd w:val="0"/>
        <w:ind w:right="-20"/>
        <w:rPr>
          <w:b/>
          <w:bCs w:val="0"/>
          <w:spacing w:val="0"/>
          <w:kern w:val="2"/>
        </w:rPr>
      </w:pPr>
    </w:p>
    <w:p w:rsidR="005020BA" w:rsidRPr="001F116B" w:rsidRDefault="005020BA" w:rsidP="005020BA">
      <w:pPr>
        <w:rPr>
          <w:bCs w:val="0"/>
          <w:spacing w:val="0"/>
          <w:kern w:val="2"/>
        </w:rPr>
      </w:pPr>
    </w:p>
    <w:p w:rsidR="005020BA" w:rsidRPr="001F116B" w:rsidRDefault="00100E51" w:rsidP="00D328F1">
      <w:pPr>
        <w:jc w:val="both"/>
        <w:rPr>
          <w:bCs w:val="0"/>
          <w:spacing w:val="0"/>
          <w:kern w:val="2"/>
        </w:rPr>
      </w:pPr>
      <w:r w:rsidRPr="001F116B">
        <w:rPr>
          <w:b/>
          <w:bCs w:val="0"/>
          <w:spacing w:val="0"/>
          <w:kern w:val="2"/>
        </w:rPr>
        <w:t>Background</w:t>
      </w:r>
    </w:p>
    <w:p w:rsidR="005020BA" w:rsidRPr="001F116B" w:rsidRDefault="005020BA" w:rsidP="00D328F1">
      <w:pPr>
        <w:jc w:val="both"/>
        <w:rPr>
          <w:bCs w:val="0"/>
          <w:spacing w:val="0"/>
          <w:kern w:val="2"/>
        </w:rPr>
      </w:pPr>
    </w:p>
    <w:p w:rsidR="005020BA" w:rsidRPr="0012526F" w:rsidRDefault="005020BA" w:rsidP="00D328F1">
      <w:pPr>
        <w:jc w:val="both"/>
        <w:rPr>
          <w:bCs w:val="0"/>
          <w:spacing w:val="0"/>
          <w:kern w:val="2"/>
        </w:rPr>
      </w:pPr>
      <w:r w:rsidRPr="0012526F">
        <w:rPr>
          <w:bCs w:val="0"/>
          <w:spacing w:val="0"/>
          <w:kern w:val="2"/>
        </w:rPr>
        <w:t>If a</w:t>
      </w:r>
      <w:r w:rsidR="00100E51" w:rsidRPr="0012526F">
        <w:rPr>
          <w:bCs w:val="0"/>
          <w:spacing w:val="0"/>
          <w:kern w:val="2"/>
        </w:rPr>
        <w:t xml:space="preserve"> </w:t>
      </w:r>
      <w:r w:rsidRPr="0012526F">
        <w:rPr>
          <w:bCs w:val="0"/>
          <w:spacing w:val="0"/>
          <w:kern w:val="2"/>
        </w:rPr>
        <w:t>PCA</w:t>
      </w:r>
      <w:r w:rsidR="00100E51" w:rsidRPr="0012526F">
        <w:rPr>
          <w:bCs w:val="0"/>
          <w:spacing w:val="0"/>
          <w:kern w:val="2"/>
        </w:rPr>
        <w:t>-HCCN</w:t>
      </w:r>
      <w:r w:rsidRPr="0012526F">
        <w:rPr>
          <w:bCs w:val="0"/>
          <w:spacing w:val="0"/>
          <w:kern w:val="2"/>
        </w:rPr>
        <w:t xml:space="preserve"> intends to engage in group purchasing activities on behalf of its members either by establishing a new group purchasing organization (“GPO”) or by functioning as a GPO and directly conducting such activities, it is important to address potential co</w:t>
      </w:r>
      <w:r w:rsidR="00FE65E3" w:rsidRPr="0012526F">
        <w:rPr>
          <w:bCs w:val="0"/>
          <w:spacing w:val="0"/>
          <w:kern w:val="2"/>
        </w:rPr>
        <w:t>ncerns under the federal Anti-K</w:t>
      </w:r>
      <w:r w:rsidRPr="0012526F">
        <w:rPr>
          <w:bCs w:val="0"/>
          <w:spacing w:val="0"/>
          <w:kern w:val="2"/>
        </w:rPr>
        <w:t>ickback</w:t>
      </w:r>
      <w:r w:rsidR="00FE65E3" w:rsidRPr="0012526F">
        <w:rPr>
          <w:bCs w:val="0"/>
          <w:spacing w:val="0"/>
          <w:kern w:val="2"/>
        </w:rPr>
        <w:t xml:space="preserve"> S</w:t>
      </w:r>
      <w:r w:rsidR="009539F6" w:rsidRPr="0012526F">
        <w:rPr>
          <w:bCs w:val="0"/>
          <w:spacing w:val="0"/>
          <w:kern w:val="2"/>
        </w:rPr>
        <w:t>tatute</w:t>
      </w:r>
      <w:r w:rsidRPr="0012526F">
        <w:rPr>
          <w:bCs w:val="0"/>
          <w:spacing w:val="0"/>
          <w:kern w:val="2"/>
        </w:rPr>
        <w:t xml:space="preserve">.  </w:t>
      </w:r>
    </w:p>
    <w:p w:rsidR="005020BA" w:rsidRPr="0012526F" w:rsidRDefault="005020BA" w:rsidP="00D328F1">
      <w:pPr>
        <w:ind w:left="720"/>
        <w:jc w:val="both"/>
        <w:rPr>
          <w:bCs w:val="0"/>
          <w:spacing w:val="0"/>
          <w:kern w:val="2"/>
        </w:rPr>
      </w:pPr>
    </w:p>
    <w:p w:rsidR="005020BA" w:rsidRPr="0012526F" w:rsidRDefault="005020BA" w:rsidP="00D328F1">
      <w:pPr>
        <w:jc w:val="both"/>
        <w:rPr>
          <w:bCs w:val="0"/>
          <w:spacing w:val="0"/>
          <w:kern w:val="2"/>
        </w:rPr>
      </w:pPr>
      <w:r w:rsidRPr="0012526F">
        <w:rPr>
          <w:spacing w:val="0"/>
          <w:kern w:val="2"/>
        </w:rPr>
        <w:t>T</w:t>
      </w:r>
      <w:r w:rsidR="00FE65E3" w:rsidRPr="0012526F">
        <w:rPr>
          <w:spacing w:val="0"/>
          <w:kern w:val="2"/>
        </w:rPr>
        <w:t>he federal Anti-Kickback S</w:t>
      </w:r>
      <w:r w:rsidR="005D41A5" w:rsidRPr="0012526F">
        <w:rPr>
          <w:spacing w:val="0"/>
          <w:kern w:val="2"/>
        </w:rPr>
        <w:t>tatute</w:t>
      </w:r>
      <w:r w:rsidR="005D41A5" w:rsidRPr="0012526F">
        <w:rPr>
          <w:rStyle w:val="FootnoteReference"/>
          <w:spacing w:val="0"/>
          <w:kern w:val="2"/>
        </w:rPr>
        <w:footnoteReference w:id="1"/>
      </w:r>
      <w:r w:rsidR="005D41A5" w:rsidRPr="0012526F">
        <w:rPr>
          <w:spacing w:val="0"/>
          <w:kern w:val="2"/>
        </w:rPr>
        <w:t xml:space="preserve"> </w:t>
      </w:r>
      <w:r w:rsidRPr="0012526F">
        <w:rPr>
          <w:spacing w:val="0"/>
          <w:kern w:val="2"/>
        </w:rPr>
        <w:t xml:space="preserve">prohibits payment of any remuneration to induce a person "to refer an individual to a person for the furnishing or arranging for the furnishing of any item or service" or to induce a person </w:t>
      </w:r>
      <w:r w:rsidR="001F116B" w:rsidRPr="0012526F">
        <w:rPr>
          <w:spacing w:val="0"/>
          <w:kern w:val="2"/>
        </w:rPr>
        <w:t>“</w:t>
      </w:r>
      <w:r w:rsidRPr="0012526F">
        <w:rPr>
          <w:spacing w:val="0"/>
          <w:kern w:val="2"/>
        </w:rPr>
        <w:t>to purchase, lease, order, or arrange for or recommend purchasing, leasing,</w:t>
      </w:r>
      <w:bookmarkStart w:id="0" w:name="_GoBack"/>
      <w:bookmarkEnd w:id="0"/>
      <w:r w:rsidRPr="0012526F">
        <w:rPr>
          <w:spacing w:val="0"/>
          <w:kern w:val="2"/>
        </w:rPr>
        <w:t xml:space="preserve"> or ordering any g</w:t>
      </w:r>
      <w:r w:rsidR="001F116B" w:rsidRPr="0012526F">
        <w:rPr>
          <w:spacing w:val="0"/>
          <w:kern w:val="2"/>
        </w:rPr>
        <w:t>ood, facility, service, or item”</w:t>
      </w:r>
      <w:r w:rsidRPr="0012526F">
        <w:rPr>
          <w:spacing w:val="0"/>
          <w:kern w:val="2"/>
        </w:rPr>
        <w:t xml:space="preserve"> for which payment may be</w:t>
      </w:r>
      <w:r w:rsidR="00FE65E3" w:rsidRPr="0012526F">
        <w:rPr>
          <w:spacing w:val="0"/>
          <w:kern w:val="2"/>
        </w:rPr>
        <w:t xml:space="preserve"> made wholly or partially by a f</w:t>
      </w:r>
      <w:r w:rsidRPr="0012526F">
        <w:rPr>
          <w:spacing w:val="0"/>
          <w:kern w:val="2"/>
        </w:rPr>
        <w:t>ederal health care program (including Medicaid).</w:t>
      </w:r>
      <w:r w:rsidR="009539F6" w:rsidRPr="0012526F">
        <w:rPr>
          <w:spacing w:val="0"/>
          <w:kern w:val="2"/>
        </w:rPr>
        <w:t xml:space="preserve"> Thus</w:t>
      </w:r>
      <w:r w:rsidR="005D41A5" w:rsidRPr="0012526F">
        <w:rPr>
          <w:bCs w:val="0"/>
          <w:spacing w:val="0"/>
          <w:kern w:val="2"/>
        </w:rPr>
        <w:t xml:space="preserve">, if a </w:t>
      </w:r>
      <w:r w:rsidR="009539F6" w:rsidRPr="0012526F">
        <w:rPr>
          <w:bCs w:val="0"/>
          <w:spacing w:val="0"/>
          <w:kern w:val="2"/>
        </w:rPr>
        <w:t>PCA</w:t>
      </w:r>
      <w:r w:rsidR="005D41A5" w:rsidRPr="0012526F">
        <w:rPr>
          <w:bCs w:val="0"/>
          <w:spacing w:val="0"/>
          <w:kern w:val="2"/>
        </w:rPr>
        <w:t>-HCCN</w:t>
      </w:r>
      <w:r w:rsidR="009539F6" w:rsidRPr="0012526F">
        <w:rPr>
          <w:bCs w:val="0"/>
          <w:spacing w:val="0"/>
          <w:kern w:val="2"/>
        </w:rPr>
        <w:t xml:space="preserve">, on behalf of health center members or networks, arranges for discounts on goods and services purchased </w:t>
      </w:r>
      <w:r w:rsidR="009539F6" w:rsidRPr="0012526F">
        <w:rPr>
          <w:bCs w:val="0"/>
          <w:spacing w:val="0"/>
          <w:kern w:val="2"/>
          <w:u w:val="single"/>
        </w:rPr>
        <w:t>and</w:t>
      </w:r>
      <w:r w:rsidR="005D41A5" w:rsidRPr="0012526F">
        <w:rPr>
          <w:bCs w:val="0"/>
          <w:spacing w:val="0"/>
          <w:kern w:val="2"/>
        </w:rPr>
        <w:t xml:space="preserve"> the </w:t>
      </w:r>
      <w:r w:rsidR="009539F6" w:rsidRPr="0012526F">
        <w:rPr>
          <w:bCs w:val="0"/>
          <w:spacing w:val="0"/>
          <w:kern w:val="2"/>
        </w:rPr>
        <w:t>PCA</w:t>
      </w:r>
      <w:r w:rsidR="005D41A5" w:rsidRPr="0012526F">
        <w:rPr>
          <w:bCs w:val="0"/>
          <w:spacing w:val="0"/>
          <w:kern w:val="2"/>
        </w:rPr>
        <w:t>-HCCN</w:t>
      </w:r>
      <w:r w:rsidR="009539F6" w:rsidRPr="0012526F">
        <w:rPr>
          <w:bCs w:val="0"/>
          <w:spacing w:val="0"/>
          <w:kern w:val="2"/>
        </w:rPr>
        <w:t xml:space="preserve"> obtains a fee for performing such services from the vendor(s) of those goods and services, t</w:t>
      </w:r>
      <w:r w:rsidRPr="0012526F">
        <w:rPr>
          <w:spacing w:val="0"/>
          <w:kern w:val="2"/>
        </w:rPr>
        <w:t>he payment and receipt of GPO fees could be considered rem</w:t>
      </w:r>
      <w:r w:rsidR="00622042" w:rsidRPr="0012526F">
        <w:rPr>
          <w:spacing w:val="0"/>
          <w:kern w:val="2"/>
        </w:rPr>
        <w:t xml:space="preserve">uneration paid to induce the </w:t>
      </w:r>
      <w:r w:rsidRPr="0012526F">
        <w:rPr>
          <w:spacing w:val="0"/>
          <w:kern w:val="2"/>
        </w:rPr>
        <w:t>PCA</w:t>
      </w:r>
      <w:r w:rsidR="00622042" w:rsidRPr="0012526F">
        <w:rPr>
          <w:spacing w:val="0"/>
          <w:kern w:val="2"/>
        </w:rPr>
        <w:t>-HCCN</w:t>
      </w:r>
      <w:r w:rsidRPr="0012526F">
        <w:rPr>
          <w:spacing w:val="0"/>
          <w:kern w:val="2"/>
        </w:rPr>
        <w:t xml:space="preserve"> to </w:t>
      </w:r>
      <w:r w:rsidR="009539F6" w:rsidRPr="0012526F">
        <w:rPr>
          <w:spacing w:val="0"/>
          <w:kern w:val="2"/>
        </w:rPr>
        <w:t xml:space="preserve">recommend </w:t>
      </w:r>
      <w:r w:rsidRPr="0012526F">
        <w:rPr>
          <w:spacing w:val="0"/>
          <w:kern w:val="2"/>
        </w:rPr>
        <w:t>the vendors</w:t>
      </w:r>
      <w:r w:rsidR="009539F6" w:rsidRPr="0012526F">
        <w:rPr>
          <w:spacing w:val="0"/>
          <w:kern w:val="2"/>
        </w:rPr>
        <w:t>’</w:t>
      </w:r>
      <w:r w:rsidRPr="0012526F">
        <w:rPr>
          <w:spacing w:val="0"/>
          <w:kern w:val="2"/>
        </w:rPr>
        <w:t xml:space="preserve"> goods</w:t>
      </w:r>
      <w:r w:rsidR="009539F6" w:rsidRPr="0012526F">
        <w:rPr>
          <w:spacing w:val="0"/>
          <w:kern w:val="2"/>
        </w:rPr>
        <w:t xml:space="preserve"> and service</w:t>
      </w:r>
      <w:r w:rsidR="0048652C" w:rsidRPr="0012526F">
        <w:rPr>
          <w:spacing w:val="0"/>
          <w:kern w:val="2"/>
        </w:rPr>
        <w:t>s</w:t>
      </w:r>
      <w:r w:rsidR="00622042" w:rsidRPr="0012526F">
        <w:rPr>
          <w:spacing w:val="0"/>
          <w:kern w:val="2"/>
        </w:rPr>
        <w:t>,</w:t>
      </w:r>
      <w:r w:rsidR="0048652C" w:rsidRPr="0012526F">
        <w:rPr>
          <w:spacing w:val="0"/>
          <w:kern w:val="2"/>
        </w:rPr>
        <w:t xml:space="preserve"> thereby implicating the Anti-Kickback S</w:t>
      </w:r>
      <w:r w:rsidR="00333CF4" w:rsidRPr="0012526F">
        <w:rPr>
          <w:spacing w:val="0"/>
          <w:kern w:val="2"/>
        </w:rPr>
        <w:t>tatute.</w:t>
      </w:r>
      <w:r w:rsidR="009539F6" w:rsidRPr="0012526F">
        <w:rPr>
          <w:spacing w:val="0"/>
          <w:kern w:val="2"/>
        </w:rPr>
        <w:t xml:space="preserve"> It is noteworthy that Section 330, and any other health care program</w:t>
      </w:r>
      <w:r w:rsidR="00622042" w:rsidRPr="0012526F">
        <w:rPr>
          <w:spacing w:val="0"/>
          <w:kern w:val="2"/>
        </w:rPr>
        <w:t>s</w:t>
      </w:r>
      <w:r w:rsidR="009539F6" w:rsidRPr="0012526F">
        <w:rPr>
          <w:spacing w:val="0"/>
          <w:kern w:val="2"/>
        </w:rPr>
        <w:t xml:space="preserve"> funded</w:t>
      </w:r>
      <w:r w:rsidR="00FE65E3" w:rsidRPr="0012526F">
        <w:rPr>
          <w:spacing w:val="0"/>
          <w:kern w:val="2"/>
        </w:rPr>
        <w:t xml:space="preserve"> in whole or in part with f</w:t>
      </w:r>
      <w:r w:rsidR="00622042" w:rsidRPr="0012526F">
        <w:rPr>
          <w:spacing w:val="0"/>
          <w:kern w:val="2"/>
        </w:rPr>
        <w:t>ederal dollars, are considered</w:t>
      </w:r>
      <w:r w:rsidR="009539F6" w:rsidRPr="0012526F">
        <w:rPr>
          <w:spacing w:val="0"/>
          <w:kern w:val="2"/>
        </w:rPr>
        <w:t xml:space="preserve"> “</w:t>
      </w:r>
      <w:r w:rsidR="007A365F" w:rsidRPr="0012526F">
        <w:rPr>
          <w:spacing w:val="0"/>
          <w:kern w:val="2"/>
        </w:rPr>
        <w:t>f</w:t>
      </w:r>
      <w:r w:rsidR="009539F6" w:rsidRPr="0012526F">
        <w:rPr>
          <w:spacing w:val="0"/>
          <w:kern w:val="2"/>
        </w:rPr>
        <w:t>ederal health care program</w:t>
      </w:r>
      <w:r w:rsidR="00622042" w:rsidRPr="0012526F">
        <w:rPr>
          <w:spacing w:val="0"/>
          <w:kern w:val="2"/>
        </w:rPr>
        <w:t>s</w:t>
      </w:r>
      <w:r w:rsidR="009539F6" w:rsidRPr="0012526F">
        <w:rPr>
          <w:spacing w:val="0"/>
          <w:kern w:val="2"/>
        </w:rPr>
        <w:t>” for purposes of the statute.</w:t>
      </w:r>
    </w:p>
    <w:p w:rsidR="005020BA" w:rsidRPr="0012526F" w:rsidRDefault="005020BA" w:rsidP="00D328F1">
      <w:pPr>
        <w:ind w:left="720"/>
        <w:jc w:val="both"/>
        <w:rPr>
          <w:bCs w:val="0"/>
          <w:spacing w:val="0"/>
          <w:kern w:val="2"/>
        </w:rPr>
      </w:pPr>
    </w:p>
    <w:p w:rsidR="005020BA" w:rsidRPr="001F116B" w:rsidRDefault="00622042" w:rsidP="00D328F1">
      <w:pPr>
        <w:jc w:val="both"/>
        <w:rPr>
          <w:bCs w:val="0"/>
          <w:spacing w:val="0"/>
          <w:kern w:val="2"/>
        </w:rPr>
      </w:pPr>
      <w:r w:rsidRPr="0012526F">
        <w:rPr>
          <w:bCs w:val="0"/>
          <w:spacing w:val="0"/>
          <w:kern w:val="2"/>
        </w:rPr>
        <w:t>B</w:t>
      </w:r>
      <w:r w:rsidR="00D565F5" w:rsidRPr="0012526F">
        <w:rPr>
          <w:bCs w:val="0"/>
          <w:spacing w:val="0"/>
          <w:kern w:val="2"/>
        </w:rPr>
        <w:t xml:space="preserve">ecause an effective group purchasing program can reduce costs to </w:t>
      </w:r>
      <w:r w:rsidR="00FE65E3" w:rsidRPr="0012526F">
        <w:rPr>
          <w:bCs w:val="0"/>
          <w:spacing w:val="0"/>
          <w:kern w:val="2"/>
        </w:rPr>
        <w:t>purchasers and, ultimately, to f</w:t>
      </w:r>
      <w:r w:rsidR="00D565F5" w:rsidRPr="0012526F">
        <w:rPr>
          <w:bCs w:val="0"/>
          <w:spacing w:val="0"/>
          <w:kern w:val="2"/>
        </w:rPr>
        <w:t>ederal health care programs, there is a</w:t>
      </w:r>
      <w:r w:rsidR="0048652C" w:rsidRPr="0012526F">
        <w:rPr>
          <w:bCs w:val="0"/>
          <w:spacing w:val="0"/>
          <w:kern w:val="2"/>
        </w:rPr>
        <w:t xml:space="preserve"> “safe harbor” for</w:t>
      </w:r>
      <w:r w:rsidR="00D565F5" w:rsidRPr="0012526F">
        <w:rPr>
          <w:bCs w:val="0"/>
          <w:spacing w:val="0"/>
          <w:kern w:val="2"/>
        </w:rPr>
        <w:t xml:space="preserve"> certain </w:t>
      </w:r>
      <w:r w:rsidR="0048652C" w:rsidRPr="0012526F">
        <w:rPr>
          <w:bCs w:val="0"/>
          <w:spacing w:val="0"/>
          <w:kern w:val="2"/>
        </w:rPr>
        <w:t xml:space="preserve">GPO </w:t>
      </w:r>
      <w:r w:rsidR="005020BA" w:rsidRPr="0012526F">
        <w:rPr>
          <w:bCs w:val="0"/>
          <w:spacing w:val="0"/>
          <w:kern w:val="2"/>
        </w:rPr>
        <w:t>arrangements</w:t>
      </w:r>
      <w:r w:rsidRPr="0012526F">
        <w:rPr>
          <w:bCs w:val="0"/>
          <w:spacing w:val="0"/>
          <w:kern w:val="2"/>
        </w:rPr>
        <w:t>.</w:t>
      </w:r>
      <w:r w:rsidRPr="0012526F">
        <w:rPr>
          <w:rStyle w:val="FootnoteReference"/>
          <w:bCs w:val="0"/>
          <w:spacing w:val="0"/>
          <w:kern w:val="2"/>
        </w:rPr>
        <w:footnoteReference w:id="2"/>
      </w:r>
      <w:r w:rsidR="0091188D" w:rsidRPr="0012526F">
        <w:rPr>
          <w:bCs w:val="0"/>
          <w:spacing w:val="0"/>
          <w:kern w:val="2"/>
        </w:rPr>
        <w:t xml:space="preserve"> If the GPO (either the </w:t>
      </w:r>
      <w:r w:rsidR="005020BA" w:rsidRPr="0012526F">
        <w:rPr>
          <w:bCs w:val="0"/>
          <w:spacing w:val="0"/>
          <w:kern w:val="2"/>
        </w:rPr>
        <w:t>PCA</w:t>
      </w:r>
      <w:r w:rsidR="0091188D" w:rsidRPr="0012526F">
        <w:rPr>
          <w:bCs w:val="0"/>
          <w:spacing w:val="0"/>
          <w:kern w:val="2"/>
        </w:rPr>
        <w:t>-HCCN</w:t>
      </w:r>
      <w:r w:rsidR="005020BA" w:rsidRPr="0012526F">
        <w:rPr>
          <w:bCs w:val="0"/>
          <w:spacing w:val="0"/>
          <w:kern w:val="2"/>
        </w:rPr>
        <w:t xml:space="preserve"> or </w:t>
      </w:r>
      <w:r w:rsidR="00D565F5" w:rsidRPr="0012526F">
        <w:rPr>
          <w:bCs w:val="0"/>
          <w:spacing w:val="0"/>
          <w:kern w:val="2"/>
        </w:rPr>
        <w:t xml:space="preserve">a related entity </w:t>
      </w:r>
      <w:r w:rsidR="0091188D" w:rsidRPr="0012526F">
        <w:rPr>
          <w:bCs w:val="0"/>
          <w:spacing w:val="0"/>
          <w:kern w:val="2"/>
        </w:rPr>
        <w:t xml:space="preserve">formed by the </w:t>
      </w:r>
      <w:r w:rsidR="005020BA" w:rsidRPr="0012526F">
        <w:rPr>
          <w:bCs w:val="0"/>
          <w:spacing w:val="0"/>
          <w:kern w:val="2"/>
        </w:rPr>
        <w:t>PCA</w:t>
      </w:r>
      <w:r w:rsidR="0091188D" w:rsidRPr="0012526F">
        <w:rPr>
          <w:bCs w:val="0"/>
          <w:spacing w:val="0"/>
          <w:kern w:val="2"/>
        </w:rPr>
        <w:t>-HCCN</w:t>
      </w:r>
      <w:r w:rsidR="00D565F5" w:rsidRPr="0012526F">
        <w:rPr>
          <w:bCs w:val="0"/>
          <w:spacing w:val="0"/>
          <w:kern w:val="2"/>
        </w:rPr>
        <w:t xml:space="preserve"> to engage in group purchasing activities</w:t>
      </w:r>
      <w:r w:rsidR="005020BA" w:rsidRPr="0012526F">
        <w:rPr>
          <w:bCs w:val="0"/>
          <w:spacing w:val="0"/>
          <w:kern w:val="2"/>
        </w:rPr>
        <w:t xml:space="preserve">) satisfies all of the safe harbor requirements, the payment from the vendor of </w:t>
      </w:r>
      <w:r w:rsidR="0091188D" w:rsidRPr="0012526F">
        <w:rPr>
          <w:bCs w:val="0"/>
          <w:spacing w:val="0"/>
          <w:kern w:val="2"/>
        </w:rPr>
        <w:t xml:space="preserve">the goods or services to the </w:t>
      </w:r>
      <w:r w:rsidR="005020BA" w:rsidRPr="0012526F">
        <w:rPr>
          <w:bCs w:val="0"/>
          <w:spacing w:val="0"/>
          <w:kern w:val="2"/>
        </w:rPr>
        <w:t>PCA</w:t>
      </w:r>
      <w:r w:rsidR="0091188D" w:rsidRPr="0012526F">
        <w:rPr>
          <w:bCs w:val="0"/>
          <w:spacing w:val="0"/>
          <w:kern w:val="2"/>
        </w:rPr>
        <w:t>-HCCN</w:t>
      </w:r>
      <w:r w:rsidR="005020BA" w:rsidRPr="0012526F">
        <w:rPr>
          <w:bCs w:val="0"/>
          <w:spacing w:val="0"/>
          <w:kern w:val="2"/>
        </w:rPr>
        <w:t xml:space="preserve"> will be protected from anti-kickback pro</w:t>
      </w:r>
      <w:r w:rsidR="00333CF4" w:rsidRPr="0012526F">
        <w:rPr>
          <w:bCs w:val="0"/>
          <w:spacing w:val="0"/>
          <w:kern w:val="2"/>
        </w:rPr>
        <w:t xml:space="preserve">secution. </w:t>
      </w:r>
      <w:r w:rsidR="0091188D" w:rsidRPr="0012526F">
        <w:rPr>
          <w:bCs w:val="0"/>
          <w:spacing w:val="0"/>
          <w:kern w:val="2"/>
        </w:rPr>
        <w:t xml:space="preserve">Specifically, the </w:t>
      </w:r>
      <w:r w:rsidR="005020BA" w:rsidRPr="0012526F">
        <w:rPr>
          <w:bCs w:val="0"/>
          <w:spacing w:val="0"/>
          <w:kern w:val="2"/>
        </w:rPr>
        <w:t>PCA</w:t>
      </w:r>
      <w:r w:rsidR="0091188D" w:rsidRPr="0012526F">
        <w:rPr>
          <w:bCs w:val="0"/>
          <w:spacing w:val="0"/>
          <w:kern w:val="2"/>
        </w:rPr>
        <w:t>-HCCN</w:t>
      </w:r>
      <w:r w:rsidR="00D565F5" w:rsidRPr="0012526F">
        <w:rPr>
          <w:bCs w:val="0"/>
          <w:spacing w:val="0"/>
          <w:kern w:val="2"/>
        </w:rPr>
        <w:t xml:space="preserve">/GPO </w:t>
      </w:r>
      <w:r w:rsidR="005020BA" w:rsidRPr="0012526F">
        <w:rPr>
          <w:bCs w:val="0"/>
          <w:spacing w:val="0"/>
          <w:kern w:val="2"/>
        </w:rPr>
        <w:t xml:space="preserve">must have a separate written agreement </w:t>
      </w:r>
      <w:r w:rsidR="00D565F5" w:rsidRPr="0012526F">
        <w:rPr>
          <w:bCs w:val="0"/>
          <w:spacing w:val="0"/>
          <w:kern w:val="2"/>
        </w:rPr>
        <w:t xml:space="preserve">with </w:t>
      </w:r>
      <w:r w:rsidR="008C45C4" w:rsidRPr="0012526F">
        <w:rPr>
          <w:bCs w:val="0"/>
          <w:spacing w:val="0"/>
          <w:kern w:val="2"/>
        </w:rPr>
        <w:t>each health center member</w:t>
      </w:r>
      <w:r w:rsidR="005020BA" w:rsidRPr="0012526F">
        <w:rPr>
          <w:bCs w:val="0"/>
          <w:spacing w:val="0"/>
          <w:kern w:val="2"/>
        </w:rPr>
        <w:t xml:space="preserve"> that intends to participate in the GPO arra</w:t>
      </w:r>
      <w:r w:rsidR="008C45C4" w:rsidRPr="0012526F">
        <w:rPr>
          <w:bCs w:val="0"/>
          <w:spacing w:val="0"/>
          <w:kern w:val="2"/>
        </w:rPr>
        <w:t>ngements.</w:t>
      </w:r>
      <w:r w:rsidR="0048652C" w:rsidRPr="0012526F">
        <w:rPr>
          <w:bCs w:val="0"/>
          <w:spacing w:val="0"/>
          <w:kern w:val="2"/>
        </w:rPr>
        <w:t xml:space="preserve"> The written agreement must authorize</w:t>
      </w:r>
      <w:r w:rsidR="00D565F5" w:rsidRPr="0012526F">
        <w:rPr>
          <w:bCs w:val="0"/>
          <w:spacing w:val="0"/>
          <w:kern w:val="2"/>
        </w:rPr>
        <w:t xml:space="preserve"> the GPO to act as a purchasin</w:t>
      </w:r>
      <w:r w:rsidR="0048652C" w:rsidRPr="0012526F">
        <w:rPr>
          <w:bCs w:val="0"/>
          <w:spacing w:val="0"/>
          <w:kern w:val="2"/>
        </w:rPr>
        <w:t>g agent for the member and it must provide</w:t>
      </w:r>
      <w:r w:rsidR="005020BA" w:rsidRPr="0012526F">
        <w:rPr>
          <w:bCs w:val="0"/>
          <w:spacing w:val="0"/>
          <w:kern w:val="2"/>
        </w:rPr>
        <w:t xml:space="preserve"> </w:t>
      </w:r>
      <w:r w:rsidR="00D565F5" w:rsidRPr="0012526F">
        <w:rPr>
          <w:bCs w:val="0"/>
          <w:spacing w:val="0"/>
          <w:kern w:val="2"/>
        </w:rPr>
        <w:t xml:space="preserve">for </w:t>
      </w:r>
      <w:r w:rsidR="005020BA" w:rsidRPr="0012526F">
        <w:rPr>
          <w:bCs w:val="0"/>
          <w:spacing w:val="0"/>
          <w:kern w:val="2"/>
        </w:rPr>
        <w:t>the following:</w:t>
      </w:r>
    </w:p>
    <w:p w:rsidR="005020BA" w:rsidRPr="001F116B" w:rsidRDefault="005020BA" w:rsidP="00D328F1">
      <w:pPr>
        <w:jc w:val="both"/>
        <w:rPr>
          <w:bCs w:val="0"/>
          <w:spacing w:val="0"/>
          <w:kern w:val="2"/>
        </w:rPr>
      </w:pPr>
    </w:p>
    <w:p w:rsidR="005020BA" w:rsidRPr="001F116B" w:rsidRDefault="005020BA" w:rsidP="00D328F1">
      <w:pPr>
        <w:numPr>
          <w:ilvl w:val="0"/>
          <w:numId w:val="1"/>
        </w:numPr>
        <w:jc w:val="both"/>
        <w:rPr>
          <w:bCs w:val="0"/>
          <w:spacing w:val="0"/>
          <w:kern w:val="2"/>
        </w:rPr>
      </w:pPr>
      <w:r w:rsidRPr="001F116B">
        <w:rPr>
          <w:bCs w:val="0"/>
          <w:spacing w:val="0"/>
          <w:kern w:val="2"/>
        </w:rPr>
        <w:t xml:space="preserve">If the </w:t>
      </w:r>
      <w:r w:rsidR="00D565F5" w:rsidRPr="001F116B">
        <w:rPr>
          <w:bCs w:val="0"/>
          <w:spacing w:val="0"/>
          <w:kern w:val="2"/>
        </w:rPr>
        <w:t xml:space="preserve">GPO’s </w:t>
      </w:r>
      <w:r w:rsidR="008C45C4" w:rsidRPr="001F116B">
        <w:rPr>
          <w:bCs w:val="0"/>
          <w:spacing w:val="0"/>
          <w:kern w:val="2"/>
        </w:rPr>
        <w:t xml:space="preserve">fee is 3% or less, the </w:t>
      </w:r>
      <w:r w:rsidRPr="001F116B">
        <w:rPr>
          <w:bCs w:val="0"/>
          <w:spacing w:val="0"/>
          <w:kern w:val="2"/>
        </w:rPr>
        <w:t>PCA</w:t>
      </w:r>
      <w:r w:rsidR="008C45C4" w:rsidRPr="001F116B">
        <w:rPr>
          <w:bCs w:val="0"/>
          <w:spacing w:val="0"/>
          <w:kern w:val="2"/>
        </w:rPr>
        <w:t>-HCCN</w:t>
      </w:r>
      <w:r w:rsidRPr="001F116B">
        <w:rPr>
          <w:bCs w:val="0"/>
          <w:spacing w:val="0"/>
          <w:kern w:val="2"/>
        </w:rPr>
        <w:t xml:space="preserve"> must advise the members that it is receiving a fee (but not necessarily the amount of the fee).</w:t>
      </w:r>
    </w:p>
    <w:p w:rsidR="005020BA" w:rsidRPr="001F116B" w:rsidRDefault="005020BA" w:rsidP="00D328F1">
      <w:pPr>
        <w:numPr>
          <w:ilvl w:val="0"/>
          <w:numId w:val="1"/>
        </w:numPr>
        <w:jc w:val="both"/>
        <w:rPr>
          <w:bCs w:val="0"/>
          <w:spacing w:val="0"/>
          <w:kern w:val="2"/>
        </w:rPr>
      </w:pPr>
      <w:r w:rsidRPr="001F116B">
        <w:rPr>
          <w:bCs w:val="0"/>
          <w:spacing w:val="0"/>
          <w:kern w:val="2"/>
        </w:rPr>
        <w:t xml:space="preserve">If the </w:t>
      </w:r>
      <w:r w:rsidR="00D565F5" w:rsidRPr="001F116B">
        <w:rPr>
          <w:bCs w:val="0"/>
          <w:spacing w:val="0"/>
          <w:kern w:val="2"/>
        </w:rPr>
        <w:t xml:space="preserve">GPO’s </w:t>
      </w:r>
      <w:r w:rsidR="008C45C4" w:rsidRPr="001F116B">
        <w:rPr>
          <w:bCs w:val="0"/>
          <w:spacing w:val="0"/>
          <w:kern w:val="2"/>
        </w:rPr>
        <w:t xml:space="preserve">fee is more than 3%, the </w:t>
      </w:r>
      <w:r w:rsidRPr="001F116B">
        <w:rPr>
          <w:bCs w:val="0"/>
          <w:spacing w:val="0"/>
          <w:kern w:val="2"/>
        </w:rPr>
        <w:t>PCA</w:t>
      </w:r>
      <w:r w:rsidR="008C45C4" w:rsidRPr="001F116B">
        <w:rPr>
          <w:bCs w:val="0"/>
          <w:spacing w:val="0"/>
          <w:kern w:val="2"/>
        </w:rPr>
        <w:t>-HCCN</w:t>
      </w:r>
      <w:r w:rsidRPr="001F116B">
        <w:rPr>
          <w:bCs w:val="0"/>
          <w:spacing w:val="0"/>
          <w:kern w:val="2"/>
        </w:rPr>
        <w:t xml:space="preserve"> must advise its members of the amount or, if the amount is not determined, the maximum amount of the fee.</w:t>
      </w:r>
    </w:p>
    <w:p w:rsidR="005020BA" w:rsidRPr="001F116B" w:rsidRDefault="008C45C4" w:rsidP="00D328F1">
      <w:pPr>
        <w:numPr>
          <w:ilvl w:val="0"/>
          <w:numId w:val="1"/>
        </w:numPr>
        <w:jc w:val="both"/>
        <w:rPr>
          <w:bCs w:val="0"/>
          <w:spacing w:val="0"/>
          <w:kern w:val="2"/>
        </w:rPr>
      </w:pPr>
      <w:r w:rsidRPr="001F116B">
        <w:rPr>
          <w:bCs w:val="0"/>
          <w:spacing w:val="0"/>
          <w:kern w:val="2"/>
        </w:rPr>
        <w:t xml:space="preserve">In all cases, the </w:t>
      </w:r>
      <w:r w:rsidR="005020BA" w:rsidRPr="001F116B">
        <w:rPr>
          <w:bCs w:val="0"/>
          <w:spacing w:val="0"/>
          <w:kern w:val="2"/>
        </w:rPr>
        <w:t>PCA</w:t>
      </w:r>
      <w:r w:rsidRPr="001F116B">
        <w:rPr>
          <w:bCs w:val="0"/>
          <w:spacing w:val="0"/>
          <w:kern w:val="2"/>
        </w:rPr>
        <w:t>-HCCN</w:t>
      </w:r>
      <w:r w:rsidR="005020BA" w:rsidRPr="001F116B">
        <w:rPr>
          <w:bCs w:val="0"/>
          <w:spacing w:val="0"/>
          <w:kern w:val="2"/>
        </w:rPr>
        <w:t xml:space="preserve"> must advise its members in writing (at least annually) regarding the amount of fess received from each vendor attributable to the purchases made</w:t>
      </w:r>
      <w:r w:rsidR="00D565F5" w:rsidRPr="001F116B">
        <w:rPr>
          <w:bCs w:val="0"/>
          <w:spacing w:val="0"/>
          <w:kern w:val="2"/>
        </w:rPr>
        <w:t xml:space="preserve"> by the member</w:t>
      </w:r>
      <w:r w:rsidR="005020BA" w:rsidRPr="001F116B">
        <w:rPr>
          <w:bCs w:val="0"/>
          <w:spacing w:val="0"/>
          <w:kern w:val="2"/>
        </w:rPr>
        <w:t>.</w:t>
      </w:r>
    </w:p>
    <w:p w:rsidR="005020BA" w:rsidRPr="001F116B" w:rsidRDefault="00705032" w:rsidP="00D328F1">
      <w:pPr>
        <w:spacing w:after="200" w:line="276" w:lineRule="auto"/>
        <w:jc w:val="both"/>
        <w:rPr>
          <w:b/>
          <w:bCs w:val="0"/>
          <w:spacing w:val="0"/>
          <w:kern w:val="2"/>
        </w:rPr>
      </w:pPr>
      <w:r w:rsidRPr="001F116B">
        <w:rPr>
          <w:b/>
          <w:spacing w:val="0"/>
          <w:kern w:val="2"/>
        </w:rPr>
        <w:lastRenderedPageBreak/>
        <w:t>Advice and Recommendations</w:t>
      </w:r>
      <w:r w:rsidR="007A365F" w:rsidRPr="001F116B">
        <w:rPr>
          <w:rStyle w:val="FootnoteReference"/>
          <w:b/>
          <w:bCs w:val="0"/>
          <w:spacing w:val="0"/>
          <w:kern w:val="2"/>
        </w:rPr>
        <w:footnoteReference w:id="3"/>
      </w:r>
    </w:p>
    <w:p w:rsidR="005020BA" w:rsidRPr="001F116B" w:rsidRDefault="001C2C81" w:rsidP="00D328F1">
      <w:pPr>
        <w:jc w:val="both"/>
        <w:rPr>
          <w:bCs w:val="0"/>
          <w:spacing w:val="0"/>
          <w:kern w:val="2"/>
        </w:rPr>
      </w:pPr>
      <w:r w:rsidRPr="001F116B">
        <w:rPr>
          <w:bCs w:val="0"/>
          <w:spacing w:val="0"/>
          <w:kern w:val="2"/>
        </w:rPr>
        <w:t xml:space="preserve">If the </w:t>
      </w:r>
      <w:r w:rsidR="005020BA" w:rsidRPr="001F116B">
        <w:rPr>
          <w:bCs w:val="0"/>
          <w:spacing w:val="0"/>
          <w:kern w:val="2"/>
        </w:rPr>
        <w:t>PCA</w:t>
      </w:r>
      <w:r w:rsidRPr="001F116B">
        <w:rPr>
          <w:bCs w:val="0"/>
          <w:spacing w:val="0"/>
          <w:kern w:val="2"/>
        </w:rPr>
        <w:t>-HCCN</w:t>
      </w:r>
      <w:r w:rsidR="005020BA" w:rsidRPr="001F116B">
        <w:rPr>
          <w:bCs w:val="0"/>
          <w:spacing w:val="0"/>
          <w:kern w:val="2"/>
        </w:rPr>
        <w:t xml:space="preserve"> intends to engage in group purchasing activities, either directly or through a </w:t>
      </w:r>
      <w:r w:rsidR="000C20AB" w:rsidRPr="001F116B">
        <w:rPr>
          <w:bCs w:val="0"/>
          <w:spacing w:val="0"/>
          <w:kern w:val="2"/>
        </w:rPr>
        <w:t xml:space="preserve">related </w:t>
      </w:r>
      <w:r w:rsidR="005020BA" w:rsidRPr="001F116B">
        <w:rPr>
          <w:bCs w:val="0"/>
          <w:spacing w:val="0"/>
          <w:kern w:val="2"/>
        </w:rPr>
        <w:t>GPO</w:t>
      </w:r>
      <w:r w:rsidR="000C20AB" w:rsidRPr="001F116B">
        <w:rPr>
          <w:bCs w:val="0"/>
          <w:spacing w:val="0"/>
          <w:kern w:val="2"/>
        </w:rPr>
        <w:t xml:space="preserve"> entity</w:t>
      </w:r>
      <w:r w:rsidR="005020BA" w:rsidRPr="001F116B">
        <w:rPr>
          <w:bCs w:val="0"/>
          <w:spacing w:val="0"/>
          <w:kern w:val="2"/>
        </w:rPr>
        <w:t>, it is</w:t>
      </w:r>
      <w:r w:rsidR="000C20AB" w:rsidRPr="001F116B">
        <w:rPr>
          <w:bCs w:val="0"/>
          <w:spacing w:val="0"/>
          <w:kern w:val="2"/>
        </w:rPr>
        <w:t xml:space="preserve"> essential </w:t>
      </w:r>
      <w:r w:rsidR="005020BA" w:rsidRPr="001F116B">
        <w:rPr>
          <w:bCs w:val="0"/>
          <w:spacing w:val="0"/>
          <w:kern w:val="2"/>
        </w:rPr>
        <w:t>to satisfy the requirem</w:t>
      </w:r>
      <w:r w:rsidR="00FE65E3" w:rsidRPr="001F116B">
        <w:rPr>
          <w:bCs w:val="0"/>
          <w:spacing w:val="0"/>
          <w:kern w:val="2"/>
        </w:rPr>
        <w:t>ents of the GPO safe harbor.</w:t>
      </w:r>
    </w:p>
    <w:p w:rsidR="005020BA" w:rsidRPr="001F116B" w:rsidRDefault="005020BA" w:rsidP="00D328F1">
      <w:pPr>
        <w:jc w:val="both"/>
        <w:rPr>
          <w:bCs w:val="0"/>
          <w:spacing w:val="0"/>
          <w:kern w:val="2"/>
        </w:rPr>
      </w:pPr>
    </w:p>
    <w:p w:rsidR="005020BA" w:rsidRPr="001F116B" w:rsidRDefault="003358AA" w:rsidP="00D328F1">
      <w:pPr>
        <w:pStyle w:val="ListParagraph"/>
        <w:numPr>
          <w:ilvl w:val="0"/>
          <w:numId w:val="4"/>
        </w:numPr>
        <w:jc w:val="both"/>
        <w:rPr>
          <w:bCs w:val="0"/>
          <w:spacing w:val="0"/>
          <w:kern w:val="2"/>
        </w:rPr>
      </w:pPr>
      <w:hyperlink r:id="rId9" w:history="1">
        <w:r w:rsidR="001C2C81" w:rsidRPr="001F116B">
          <w:rPr>
            <w:rStyle w:val="Hyperlink"/>
            <w:bCs w:val="0"/>
            <w:spacing w:val="0"/>
            <w:kern w:val="2"/>
          </w:rPr>
          <w:t>Group purchasing p</w:t>
        </w:r>
        <w:r w:rsidR="005020BA" w:rsidRPr="001F116B">
          <w:rPr>
            <w:rStyle w:val="Hyperlink"/>
            <w:bCs w:val="0"/>
            <w:spacing w:val="0"/>
            <w:kern w:val="2"/>
          </w:rPr>
          <w:t>rograms</w:t>
        </w:r>
      </w:hyperlink>
      <w:r w:rsidR="001C2C81" w:rsidRPr="001F116B">
        <w:rPr>
          <w:rStyle w:val="Hyperlink"/>
          <w:bCs w:val="0"/>
          <w:spacing w:val="0"/>
          <w:kern w:val="2"/>
        </w:rPr>
        <w:t>: Sample policy and procedure</w:t>
      </w:r>
    </w:p>
    <w:p w:rsidR="0000738F" w:rsidRPr="001F116B" w:rsidRDefault="0000738F" w:rsidP="00D328F1">
      <w:pPr>
        <w:jc w:val="both"/>
        <w:rPr>
          <w:spacing w:val="0"/>
          <w:kern w:val="2"/>
        </w:rPr>
      </w:pPr>
    </w:p>
    <w:sectPr w:rsidR="0000738F" w:rsidRPr="001F116B" w:rsidSect="006C4370">
      <w:headerReference w:type="default" r:id="rId10"/>
      <w:footerReference w:type="default" r:id="rId11"/>
      <w:pgSz w:w="12240" w:h="15840" w:code="1"/>
      <w:pgMar w:top="1440" w:right="1440" w:bottom="1440" w:left="1440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FD" w:rsidRDefault="008E56FD" w:rsidP="008E56FD">
      <w:r>
        <w:separator/>
      </w:r>
    </w:p>
  </w:endnote>
  <w:endnote w:type="continuationSeparator" w:id="0">
    <w:p w:rsidR="008E56FD" w:rsidRDefault="008E56FD" w:rsidP="008E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FD" w:rsidRPr="006B59DD" w:rsidRDefault="008E56FD" w:rsidP="008E56FD">
    <w:pPr>
      <w:pBdr>
        <w:bottom w:val="single" w:sz="12" w:space="0" w:color="auto"/>
      </w:pBdr>
      <w:rPr>
        <w:rFonts w:eastAsia="Calibri"/>
        <w:bCs w:val="0"/>
        <w:sz w:val="20"/>
        <w:szCs w:val="20"/>
      </w:rPr>
    </w:pPr>
  </w:p>
  <w:p w:rsidR="008E56FD" w:rsidRPr="006B59DD" w:rsidRDefault="008E56FD" w:rsidP="008E56FD">
    <w:pPr>
      <w:tabs>
        <w:tab w:val="left" w:pos="2340"/>
      </w:tabs>
      <w:jc w:val="center"/>
      <w:rPr>
        <w:rFonts w:eastAsia="Calibri"/>
        <w:bCs w:val="0"/>
        <w:sz w:val="20"/>
        <w:szCs w:val="20"/>
      </w:rPr>
    </w:pPr>
  </w:p>
  <w:p w:rsidR="008E56FD" w:rsidRPr="006B59DD" w:rsidRDefault="00333CF4" w:rsidP="008E56FD">
    <w:pPr>
      <w:tabs>
        <w:tab w:val="left" w:pos="2340"/>
      </w:tabs>
      <w:jc w:val="center"/>
      <w:rPr>
        <w:rFonts w:eastAsia="Calibri"/>
        <w:bCs w:val="0"/>
        <w:sz w:val="20"/>
        <w:szCs w:val="20"/>
      </w:rPr>
    </w:pPr>
    <w:r>
      <w:rPr>
        <w:rFonts w:eastAsia="Calibri"/>
        <w:sz w:val="20"/>
        <w:szCs w:val="20"/>
      </w:rPr>
      <w:t>The Corporate</w:t>
    </w:r>
    <w:r w:rsidR="008E56FD" w:rsidRPr="006B59DD">
      <w:rPr>
        <w:rFonts w:eastAsia="Calibri"/>
        <w:sz w:val="20"/>
        <w:szCs w:val="20"/>
      </w:rPr>
      <w:t xml:space="preserve"> Compliance Toolkit</w:t>
    </w:r>
    <w:r>
      <w:rPr>
        <w:rFonts w:eastAsia="Calibri"/>
        <w:sz w:val="20"/>
        <w:szCs w:val="20"/>
      </w:rPr>
      <w:t xml:space="preserve"> for PCAs-HCCNs</w:t>
    </w:r>
  </w:p>
  <w:p w:rsidR="008E56FD" w:rsidRPr="006B59DD" w:rsidRDefault="00333CF4" w:rsidP="008E56FD">
    <w:pPr>
      <w:tabs>
        <w:tab w:val="left" w:pos="2340"/>
      </w:tabs>
      <w:jc w:val="center"/>
      <w:rPr>
        <w:rFonts w:eastAsia="Calibri"/>
        <w:bCs w:val="0"/>
        <w:sz w:val="20"/>
        <w:szCs w:val="20"/>
        <w:lang w:val="de-DE"/>
      </w:rPr>
    </w:pPr>
    <w:r>
      <w:rPr>
        <w:rFonts w:eastAsia="Calibri"/>
        <w:sz w:val="20"/>
        <w:szCs w:val="20"/>
        <w:lang w:val="de-DE"/>
      </w:rPr>
      <w:t>© 2015</w:t>
    </w:r>
    <w:r w:rsidR="008E56FD" w:rsidRPr="006B59DD">
      <w:rPr>
        <w:rFonts w:eastAsia="Calibri"/>
        <w:sz w:val="20"/>
        <w:szCs w:val="20"/>
        <w:lang w:val="de-DE"/>
      </w:rPr>
      <w:t xml:space="preserve"> </w:t>
    </w:r>
    <w:r w:rsidR="008E56FD" w:rsidRPr="006B59DD">
      <w:rPr>
        <w:rFonts w:eastAsia="Calibri"/>
        <w:sz w:val="20"/>
        <w:szCs w:val="20"/>
      </w:rPr>
      <w:t>National Association of Community Health Centers, Inc.</w:t>
    </w:r>
  </w:p>
  <w:p w:rsidR="008E56FD" w:rsidRPr="006B59DD" w:rsidRDefault="008E56FD" w:rsidP="008E56FD">
    <w:pPr>
      <w:tabs>
        <w:tab w:val="left" w:pos="2340"/>
      </w:tabs>
      <w:jc w:val="center"/>
      <w:rPr>
        <w:rFonts w:eastAsia="Calibri"/>
        <w:bCs w:val="0"/>
        <w:sz w:val="20"/>
        <w:szCs w:val="20"/>
        <w:lang w:val="de-DE"/>
      </w:rPr>
    </w:pPr>
    <w:r w:rsidRPr="006B59DD">
      <w:rPr>
        <w:rFonts w:eastAsia="Calibri"/>
        <w:sz w:val="20"/>
        <w:szCs w:val="20"/>
        <w:lang w:val="de-DE"/>
      </w:rPr>
      <w:t>and Feldesman Tucker Leifer Fidell LLP</w:t>
    </w:r>
  </w:p>
  <w:p w:rsidR="008E56FD" w:rsidRPr="006B59DD" w:rsidRDefault="008E56FD" w:rsidP="008E56FD">
    <w:pPr>
      <w:tabs>
        <w:tab w:val="left" w:pos="2340"/>
      </w:tabs>
      <w:jc w:val="center"/>
      <w:rPr>
        <w:rFonts w:eastAsia="Calibri"/>
        <w:bCs w:val="0"/>
        <w:sz w:val="20"/>
        <w:szCs w:val="20"/>
      </w:rPr>
    </w:pPr>
  </w:p>
  <w:p w:rsidR="008E56FD" w:rsidRPr="008E56FD" w:rsidRDefault="008E56FD" w:rsidP="008E56FD">
    <w:pPr>
      <w:tabs>
        <w:tab w:val="left" w:pos="2340"/>
      </w:tabs>
      <w:jc w:val="center"/>
      <w:rPr>
        <w:rFonts w:eastAsia="Calibri"/>
        <w:sz w:val="20"/>
        <w:szCs w:val="20"/>
        <w:lang w:val="de-DE"/>
      </w:rPr>
    </w:pPr>
    <w:r w:rsidRPr="006B59DD">
      <w:rPr>
        <w:rFonts w:eastAsia="Calibri"/>
        <w:bCs w:val="0"/>
        <w:sz w:val="20"/>
        <w:szCs w:val="20"/>
      </w:rPr>
      <w:fldChar w:fldCharType="begin"/>
    </w:r>
    <w:r w:rsidRPr="006B59DD">
      <w:rPr>
        <w:rFonts w:eastAsia="Calibri"/>
        <w:sz w:val="20"/>
        <w:szCs w:val="20"/>
      </w:rPr>
      <w:instrText xml:space="preserve"> PAGE </w:instrText>
    </w:r>
    <w:r w:rsidRPr="006B59DD">
      <w:rPr>
        <w:rFonts w:eastAsia="Calibri"/>
        <w:bCs w:val="0"/>
        <w:sz w:val="20"/>
        <w:szCs w:val="20"/>
      </w:rPr>
      <w:fldChar w:fldCharType="separate"/>
    </w:r>
    <w:r w:rsidR="0012526F">
      <w:rPr>
        <w:rFonts w:eastAsia="Calibri"/>
        <w:noProof/>
        <w:sz w:val="20"/>
        <w:szCs w:val="20"/>
      </w:rPr>
      <w:t>1</w:t>
    </w:r>
    <w:r w:rsidRPr="006B59DD">
      <w:rPr>
        <w:rFonts w:eastAsia="Calibri"/>
        <w:bCs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FD" w:rsidRDefault="008E56FD" w:rsidP="008E56FD">
      <w:r>
        <w:separator/>
      </w:r>
    </w:p>
  </w:footnote>
  <w:footnote w:type="continuationSeparator" w:id="0">
    <w:p w:rsidR="008E56FD" w:rsidRDefault="008E56FD" w:rsidP="008E56FD">
      <w:r>
        <w:continuationSeparator/>
      </w:r>
    </w:p>
  </w:footnote>
  <w:footnote w:id="1">
    <w:p w:rsidR="005D41A5" w:rsidRDefault="005D41A5" w:rsidP="006C4370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 w:rsidR="006C4370">
        <w:tab/>
      </w:r>
      <w:r w:rsidRPr="008E56FD">
        <w:t>42 U.S.C. §1320a-7b(b),</w:t>
      </w:r>
    </w:p>
  </w:footnote>
  <w:footnote w:id="2">
    <w:p w:rsidR="00622042" w:rsidRDefault="00622042" w:rsidP="006C4370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 w:rsidR="0091188D">
        <w:rPr>
          <w:bCs w:val="0"/>
        </w:rPr>
        <w:t xml:space="preserve"> </w:t>
      </w:r>
      <w:r w:rsidR="006C4370">
        <w:rPr>
          <w:bCs w:val="0"/>
        </w:rPr>
        <w:tab/>
      </w:r>
      <w:r w:rsidR="0091188D">
        <w:t>42 C.F.R. § 1001.952(j)</w:t>
      </w:r>
      <w:r w:rsidRPr="008E56FD">
        <w:rPr>
          <w:bCs w:val="0"/>
        </w:rPr>
        <w:t xml:space="preserve">.  </w:t>
      </w:r>
    </w:p>
  </w:footnote>
  <w:footnote w:id="3">
    <w:p w:rsidR="007A365F" w:rsidRPr="00705032" w:rsidRDefault="007A365F" w:rsidP="00151F46">
      <w:pPr>
        <w:ind w:left="360" w:hanging="360"/>
        <w:rPr>
          <w:color w:val="000000"/>
          <w:sz w:val="20"/>
          <w:szCs w:val="20"/>
        </w:rPr>
      </w:pPr>
      <w:r w:rsidRPr="00705032">
        <w:rPr>
          <w:rStyle w:val="FootnoteReference"/>
          <w:sz w:val="20"/>
          <w:szCs w:val="20"/>
        </w:rPr>
        <w:footnoteRef/>
      </w:r>
      <w:r w:rsidRPr="00705032">
        <w:rPr>
          <w:sz w:val="20"/>
          <w:szCs w:val="20"/>
        </w:rPr>
        <w:t xml:space="preserve"> </w:t>
      </w:r>
      <w:r w:rsidR="00151F46">
        <w:rPr>
          <w:sz w:val="20"/>
          <w:szCs w:val="20"/>
        </w:rPr>
        <w:tab/>
      </w:r>
      <w:r w:rsidRPr="00705032">
        <w:rPr>
          <w:color w:val="000000"/>
          <w:sz w:val="20"/>
          <w:szCs w:val="20"/>
        </w:rPr>
        <w:t>The</w:t>
      </w:r>
      <w:r w:rsidRPr="00705032">
        <w:rPr>
          <w:color w:val="000000"/>
          <w:spacing w:val="4"/>
          <w:sz w:val="20"/>
          <w:szCs w:val="20"/>
        </w:rPr>
        <w:t xml:space="preserve"> </w:t>
      </w:r>
      <w:r w:rsidRPr="00705032">
        <w:rPr>
          <w:color w:val="000000"/>
          <w:sz w:val="20"/>
          <w:szCs w:val="20"/>
        </w:rPr>
        <w:t>A</w:t>
      </w:r>
      <w:r w:rsidRPr="00705032">
        <w:rPr>
          <w:color w:val="000000"/>
          <w:spacing w:val="-2"/>
          <w:sz w:val="20"/>
          <w:szCs w:val="20"/>
        </w:rPr>
        <w:t>u</w:t>
      </w:r>
      <w:r w:rsidRPr="00705032">
        <w:rPr>
          <w:color w:val="000000"/>
          <w:sz w:val="20"/>
          <w:szCs w:val="20"/>
        </w:rPr>
        <w:t>thors</w:t>
      </w:r>
      <w:r w:rsidRPr="00705032">
        <w:rPr>
          <w:color w:val="000000"/>
          <w:spacing w:val="4"/>
          <w:sz w:val="20"/>
          <w:szCs w:val="20"/>
        </w:rPr>
        <w:t xml:space="preserve"> </w:t>
      </w:r>
      <w:r w:rsidRPr="00705032">
        <w:rPr>
          <w:color w:val="000000"/>
          <w:sz w:val="20"/>
          <w:szCs w:val="20"/>
        </w:rPr>
        <w:t>of</w:t>
      </w:r>
      <w:r w:rsidRPr="00705032">
        <w:rPr>
          <w:color w:val="000000"/>
          <w:spacing w:val="4"/>
          <w:sz w:val="20"/>
          <w:szCs w:val="20"/>
        </w:rPr>
        <w:t xml:space="preserve"> </w:t>
      </w:r>
      <w:r w:rsidRPr="00705032">
        <w:rPr>
          <w:color w:val="000000"/>
          <w:sz w:val="20"/>
          <w:szCs w:val="20"/>
        </w:rPr>
        <w:t>these</w:t>
      </w:r>
      <w:r w:rsidRPr="00705032">
        <w:rPr>
          <w:color w:val="000000"/>
          <w:spacing w:val="5"/>
          <w:sz w:val="20"/>
          <w:szCs w:val="20"/>
        </w:rPr>
        <w:t xml:space="preserve"> </w:t>
      </w:r>
      <w:r w:rsidRPr="00705032">
        <w:rPr>
          <w:color w:val="000000"/>
          <w:sz w:val="20"/>
          <w:szCs w:val="20"/>
        </w:rPr>
        <w:t>m</w:t>
      </w:r>
      <w:r w:rsidRPr="00705032">
        <w:rPr>
          <w:color w:val="000000"/>
          <w:spacing w:val="-2"/>
          <w:sz w:val="20"/>
          <w:szCs w:val="20"/>
        </w:rPr>
        <w:t>a</w:t>
      </w:r>
      <w:r w:rsidRPr="00705032">
        <w:rPr>
          <w:color w:val="000000"/>
          <w:sz w:val="20"/>
          <w:szCs w:val="20"/>
        </w:rPr>
        <w:t>t</w:t>
      </w:r>
      <w:r w:rsidRPr="00705032">
        <w:rPr>
          <w:color w:val="000000"/>
          <w:spacing w:val="-2"/>
          <w:sz w:val="20"/>
          <w:szCs w:val="20"/>
        </w:rPr>
        <w:t>e</w:t>
      </w:r>
      <w:r w:rsidRPr="00705032">
        <w:rPr>
          <w:color w:val="000000"/>
          <w:sz w:val="20"/>
          <w:szCs w:val="20"/>
        </w:rPr>
        <w:t>rials</w:t>
      </w:r>
      <w:r w:rsidRPr="00705032">
        <w:rPr>
          <w:color w:val="000000"/>
          <w:spacing w:val="4"/>
          <w:sz w:val="20"/>
          <w:szCs w:val="20"/>
        </w:rPr>
        <w:t xml:space="preserve"> </w:t>
      </w:r>
      <w:r w:rsidRPr="00705032">
        <w:rPr>
          <w:color w:val="000000"/>
          <w:sz w:val="20"/>
          <w:szCs w:val="20"/>
        </w:rPr>
        <w:t>inclu</w:t>
      </w:r>
      <w:r w:rsidRPr="00705032">
        <w:rPr>
          <w:color w:val="000000"/>
          <w:spacing w:val="-2"/>
          <w:sz w:val="20"/>
          <w:szCs w:val="20"/>
        </w:rPr>
        <w:t>d</w:t>
      </w:r>
      <w:r w:rsidRPr="00705032">
        <w:rPr>
          <w:color w:val="000000"/>
          <w:sz w:val="20"/>
          <w:szCs w:val="20"/>
        </w:rPr>
        <w:t>e</w:t>
      </w:r>
      <w:r w:rsidRPr="00705032">
        <w:rPr>
          <w:color w:val="000000"/>
          <w:spacing w:val="4"/>
          <w:sz w:val="20"/>
          <w:szCs w:val="20"/>
        </w:rPr>
        <w:t xml:space="preserve"> </w:t>
      </w:r>
      <w:r w:rsidRPr="00705032">
        <w:rPr>
          <w:color w:val="000000"/>
          <w:sz w:val="20"/>
          <w:szCs w:val="20"/>
        </w:rPr>
        <w:t>attorneys</w:t>
      </w:r>
      <w:r w:rsidRPr="00705032">
        <w:rPr>
          <w:color w:val="000000"/>
          <w:spacing w:val="4"/>
          <w:sz w:val="20"/>
          <w:szCs w:val="20"/>
        </w:rPr>
        <w:t xml:space="preserve"> </w:t>
      </w:r>
      <w:r w:rsidRPr="00705032">
        <w:rPr>
          <w:color w:val="000000"/>
          <w:sz w:val="20"/>
          <w:szCs w:val="20"/>
        </w:rPr>
        <w:t>at</w:t>
      </w:r>
      <w:r w:rsidRPr="00705032">
        <w:rPr>
          <w:color w:val="000000"/>
          <w:spacing w:val="5"/>
          <w:sz w:val="20"/>
          <w:szCs w:val="20"/>
        </w:rPr>
        <w:t xml:space="preserve"> </w:t>
      </w:r>
      <w:r w:rsidRPr="00705032">
        <w:rPr>
          <w:color w:val="000000"/>
          <w:spacing w:val="-4"/>
          <w:sz w:val="20"/>
          <w:szCs w:val="20"/>
        </w:rPr>
        <w:t>t</w:t>
      </w:r>
      <w:r w:rsidRPr="00705032">
        <w:rPr>
          <w:color w:val="000000"/>
          <w:sz w:val="20"/>
          <w:szCs w:val="20"/>
        </w:rPr>
        <w:t>he</w:t>
      </w:r>
      <w:r w:rsidRPr="00705032">
        <w:rPr>
          <w:color w:val="000000"/>
          <w:spacing w:val="4"/>
          <w:sz w:val="20"/>
          <w:szCs w:val="20"/>
        </w:rPr>
        <w:t xml:space="preserve"> </w:t>
      </w:r>
      <w:r w:rsidRPr="00705032">
        <w:rPr>
          <w:color w:val="000000"/>
          <w:sz w:val="20"/>
          <w:szCs w:val="20"/>
        </w:rPr>
        <w:t>law</w:t>
      </w:r>
      <w:r w:rsidRPr="00705032">
        <w:rPr>
          <w:color w:val="000000"/>
          <w:spacing w:val="4"/>
          <w:sz w:val="20"/>
          <w:szCs w:val="20"/>
        </w:rPr>
        <w:t xml:space="preserve"> </w:t>
      </w:r>
      <w:r w:rsidRPr="00705032">
        <w:rPr>
          <w:color w:val="000000"/>
          <w:sz w:val="20"/>
          <w:szCs w:val="20"/>
        </w:rPr>
        <w:t>firm</w:t>
      </w:r>
      <w:r w:rsidRPr="00705032">
        <w:rPr>
          <w:color w:val="000000"/>
          <w:spacing w:val="4"/>
          <w:sz w:val="20"/>
          <w:szCs w:val="20"/>
        </w:rPr>
        <w:t xml:space="preserve"> </w:t>
      </w:r>
      <w:r w:rsidRPr="00705032">
        <w:rPr>
          <w:color w:val="000000"/>
          <w:sz w:val="20"/>
          <w:szCs w:val="20"/>
        </w:rPr>
        <w:t>of</w:t>
      </w:r>
      <w:r w:rsidRPr="00705032">
        <w:rPr>
          <w:color w:val="000000"/>
          <w:spacing w:val="5"/>
          <w:sz w:val="20"/>
          <w:szCs w:val="20"/>
        </w:rPr>
        <w:t xml:space="preserve"> </w:t>
      </w:r>
      <w:r w:rsidRPr="00705032">
        <w:rPr>
          <w:color w:val="000000"/>
          <w:sz w:val="20"/>
          <w:szCs w:val="20"/>
        </w:rPr>
        <w:t>Feldesman</w:t>
      </w:r>
      <w:r w:rsidRPr="00705032">
        <w:rPr>
          <w:color w:val="000000"/>
          <w:spacing w:val="5"/>
          <w:sz w:val="20"/>
          <w:szCs w:val="20"/>
        </w:rPr>
        <w:t xml:space="preserve"> </w:t>
      </w:r>
      <w:r w:rsidRPr="00705032">
        <w:rPr>
          <w:color w:val="000000"/>
          <w:sz w:val="20"/>
          <w:szCs w:val="20"/>
        </w:rPr>
        <w:t>Tucker</w:t>
      </w:r>
      <w:r w:rsidRPr="00705032">
        <w:rPr>
          <w:color w:val="000000"/>
          <w:spacing w:val="4"/>
          <w:sz w:val="20"/>
          <w:szCs w:val="20"/>
        </w:rPr>
        <w:t xml:space="preserve"> </w:t>
      </w:r>
      <w:r w:rsidRPr="00705032">
        <w:rPr>
          <w:color w:val="000000"/>
          <w:sz w:val="20"/>
          <w:szCs w:val="20"/>
        </w:rPr>
        <w:t>Leifer</w:t>
      </w:r>
      <w:r w:rsidRPr="00705032">
        <w:rPr>
          <w:color w:val="000000"/>
          <w:spacing w:val="4"/>
          <w:sz w:val="20"/>
          <w:szCs w:val="20"/>
        </w:rPr>
        <w:t xml:space="preserve"> </w:t>
      </w:r>
      <w:r w:rsidRPr="00705032">
        <w:rPr>
          <w:color w:val="000000"/>
          <w:sz w:val="20"/>
          <w:szCs w:val="20"/>
        </w:rPr>
        <w:t>Fidell</w:t>
      </w:r>
      <w:r w:rsidRPr="00705032">
        <w:rPr>
          <w:color w:val="000000"/>
          <w:spacing w:val="4"/>
          <w:sz w:val="20"/>
          <w:szCs w:val="20"/>
        </w:rPr>
        <w:t xml:space="preserve"> </w:t>
      </w:r>
      <w:r w:rsidRPr="00705032">
        <w:rPr>
          <w:color w:val="000000"/>
          <w:sz w:val="20"/>
          <w:szCs w:val="20"/>
        </w:rPr>
        <w:t>LLP</w:t>
      </w:r>
      <w:r w:rsidR="00333CF4">
        <w:rPr>
          <w:color w:val="000000"/>
          <w:sz w:val="20"/>
          <w:szCs w:val="20"/>
        </w:rPr>
        <w:t xml:space="preserve">. </w:t>
      </w:r>
      <w:r w:rsidRPr="00705032">
        <w:rPr>
          <w:color w:val="000000"/>
          <w:spacing w:val="-4"/>
          <w:sz w:val="20"/>
          <w:szCs w:val="20"/>
        </w:rPr>
        <w:t>Th</w:t>
      </w:r>
      <w:r w:rsidRPr="00705032">
        <w:rPr>
          <w:color w:val="000000"/>
          <w:sz w:val="20"/>
          <w:szCs w:val="20"/>
        </w:rPr>
        <w:t>e</w:t>
      </w:r>
      <w:r w:rsidRPr="00705032">
        <w:rPr>
          <w:color w:val="000000"/>
          <w:spacing w:val="-2"/>
          <w:sz w:val="20"/>
          <w:szCs w:val="20"/>
        </w:rPr>
        <w:t xml:space="preserve"> </w:t>
      </w:r>
      <w:r w:rsidRPr="00705032">
        <w:rPr>
          <w:color w:val="000000"/>
          <w:spacing w:val="-4"/>
          <w:sz w:val="20"/>
          <w:szCs w:val="20"/>
        </w:rPr>
        <w:t>adv</w:t>
      </w:r>
      <w:r w:rsidRPr="00705032">
        <w:rPr>
          <w:color w:val="000000"/>
          <w:spacing w:val="-2"/>
          <w:sz w:val="20"/>
          <w:szCs w:val="20"/>
        </w:rPr>
        <w:t>i</w:t>
      </w:r>
      <w:r w:rsidRPr="00705032">
        <w:rPr>
          <w:color w:val="000000"/>
          <w:spacing w:val="-4"/>
          <w:sz w:val="20"/>
          <w:szCs w:val="20"/>
        </w:rPr>
        <w:t>c</w:t>
      </w:r>
      <w:r w:rsidRPr="00705032">
        <w:rPr>
          <w:color w:val="000000"/>
          <w:sz w:val="20"/>
          <w:szCs w:val="20"/>
        </w:rPr>
        <w:t xml:space="preserve">e </w:t>
      </w:r>
      <w:r w:rsidRPr="00705032">
        <w:rPr>
          <w:color w:val="000000"/>
          <w:spacing w:val="-2"/>
          <w:sz w:val="20"/>
          <w:szCs w:val="20"/>
        </w:rPr>
        <w:t>a</w:t>
      </w:r>
      <w:r w:rsidRPr="00705032">
        <w:rPr>
          <w:color w:val="000000"/>
          <w:sz w:val="20"/>
          <w:szCs w:val="20"/>
        </w:rPr>
        <w:t xml:space="preserve">nd </w:t>
      </w:r>
      <w:r w:rsidRPr="00705032">
        <w:rPr>
          <w:color w:val="000000"/>
          <w:spacing w:val="-4"/>
          <w:sz w:val="20"/>
          <w:szCs w:val="20"/>
        </w:rPr>
        <w:t>r</w:t>
      </w:r>
      <w:r w:rsidRPr="00705032">
        <w:rPr>
          <w:color w:val="000000"/>
          <w:spacing w:val="-2"/>
          <w:sz w:val="20"/>
          <w:szCs w:val="20"/>
        </w:rPr>
        <w:t>e</w:t>
      </w:r>
      <w:r w:rsidRPr="00705032">
        <w:rPr>
          <w:color w:val="000000"/>
          <w:spacing w:val="-4"/>
          <w:sz w:val="20"/>
          <w:szCs w:val="20"/>
        </w:rPr>
        <w:t>c</w:t>
      </w:r>
      <w:r w:rsidRPr="00705032">
        <w:rPr>
          <w:color w:val="000000"/>
          <w:sz w:val="20"/>
          <w:szCs w:val="20"/>
        </w:rPr>
        <w:t>o</w:t>
      </w:r>
      <w:r w:rsidRPr="00705032">
        <w:rPr>
          <w:color w:val="000000"/>
          <w:spacing w:val="-4"/>
          <w:sz w:val="20"/>
          <w:szCs w:val="20"/>
        </w:rPr>
        <w:t>m</w:t>
      </w:r>
      <w:r w:rsidRPr="00705032">
        <w:rPr>
          <w:color w:val="000000"/>
          <w:sz w:val="20"/>
          <w:szCs w:val="20"/>
        </w:rPr>
        <w:t>m</w:t>
      </w:r>
      <w:r w:rsidRPr="00705032">
        <w:rPr>
          <w:color w:val="000000"/>
          <w:spacing w:val="-4"/>
          <w:sz w:val="20"/>
          <w:szCs w:val="20"/>
        </w:rPr>
        <w:t>en</w:t>
      </w:r>
      <w:r w:rsidRPr="00705032">
        <w:rPr>
          <w:color w:val="000000"/>
          <w:spacing w:val="-2"/>
          <w:sz w:val="20"/>
          <w:szCs w:val="20"/>
        </w:rPr>
        <w:t>d</w:t>
      </w:r>
      <w:r w:rsidRPr="00705032">
        <w:rPr>
          <w:color w:val="000000"/>
          <w:sz w:val="20"/>
          <w:szCs w:val="20"/>
        </w:rPr>
        <w:t>a</w:t>
      </w:r>
      <w:r w:rsidRPr="00705032">
        <w:rPr>
          <w:color w:val="000000"/>
          <w:spacing w:val="-4"/>
          <w:sz w:val="20"/>
          <w:szCs w:val="20"/>
        </w:rPr>
        <w:t>ti</w:t>
      </w:r>
      <w:r w:rsidRPr="00705032">
        <w:rPr>
          <w:color w:val="000000"/>
          <w:sz w:val="20"/>
          <w:szCs w:val="20"/>
        </w:rPr>
        <w:t>o</w:t>
      </w:r>
      <w:r w:rsidRPr="00705032">
        <w:rPr>
          <w:color w:val="000000"/>
          <w:spacing w:val="-4"/>
          <w:sz w:val="20"/>
          <w:szCs w:val="20"/>
        </w:rPr>
        <w:t>n</w:t>
      </w:r>
      <w:r w:rsidRPr="00705032">
        <w:rPr>
          <w:color w:val="000000"/>
          <w:sz w:val="20"/>
          <w:szCs w:val="20"/>
        </w:rPr>
        <w:t>s c</w:t>
      </w:r>
      <w:r w:rsidRPr="00705032">
        <w:rPr>
          <w:color w:val="000000"/>
          <w:spacing w:val="-4"/>
          <w:sz w:val="20"/>
          <w:szCs w:val="20"/>
        </w:rPr>
        <w:t>o</w:t>
      </w:r>
      <w:r w:rsidRPr="00705032">
        <w:rPr>
          <w:color w:val="000000"/>
          <w:sz w:val="20"/>
          <w:szCs w:val="20"/>
        </w:rPr>
        <w:t>ns</w:t>
      </w:r>
      <w:r w:rsidRPr="00705032">
        <w:rPr>
          <w:color w:val="000000"/>
          <w:spacing w:val="-4"/>
          <w:sz w:val="20"/>
          <w:szCs w:val="20"/>
        </w:rPr>
        <w:t>i</w:t>
      </w:r>
      <w:r w:rsidRPr="00705032">
        <w:rPr>
          <w:color w:val="000000"/>
          <w:spacing w:val="-2"/>
          <w:sz w:val="20"/>
          <w:szCs w:val="20"/>
        </w:rPr>
        <w:t>s</w:t>
      </w:r>
      <w:r w:rsidRPr="00705032">
        <w:rPr>
          <w:color w:val="000000"/>
          <w:sz w:val="20"/>
          <w:szCs w:val="20"/>
        </w:rPr>
        <w:t>t</w:t>
      </w:r>
      <w:r w:rsidRPr="00705032">
        <w:rPr>
          <w:color w:val="000000"/>
          <w:spacing w:val="-2"/>
          <w:sz w:val="20"/>
          <w:szCs w:val="20"/>
        </w:rPr>
        <w:t xml:space="preserve"> </w:t>
      </w:r>
      <w:r w:rsidRPr="00705032">
        <w:rPr>
          <w:color w:val="000000"/>
          <w:spacing w:val="-4"/>
          <w:sz w:val="20"/>
          <w:szCs w:val="20"/>
        </w:rPr>
        <w:t>o</w:t>
      </w:r>
      <w:r w:rsidRPr="00705032">
        <w:rPr>
          <w:color w:val="000000"/>
          <w:sz w:val="20"/>
          <w:szCs w:val="20"/>
        </w:rPr>
        <w:t xml:space="preserve">f </w:t>
      </w:r>
      <w:r w:rsidRPr="00705032">
        <w:rPr>
          <w:color w:val="000000"/>
          <w:spacing w:val="-4"/>
          <w:sz w:val="20"/>
          <w:szCs w:val="20"/>
        </w:rPr>
        <w:t>g</w:t>
      </w:r>
      <w:r w:rsidRPr="00705032">
        <w:rPr>
          <w:color w:val="000000"/>
          <w:spacing w:val="-2"/>
          <w:sz w:val="20"/>
          <w:szCs w:val="20"/>
        </w:rPr>
        <w:t>e</w:t>
      </w:r>
      <w:r w:rsidRPr="00705032">
        <w:rPr>
          <w:color w:val="000000"/>
          <w:spacing w:val="-4"/>
          <w:sz w:val="20"/>
          <w:szCs w:val="20"/>
        </w:rPr>
        <w:t>nera</w:t>
      </w:r>
      <w:r w:rsidRPr="00705032">
        <w:rPr>
          <w:color w:val="000000"/>
          <w:sz w:val="20"/>
          <w:szCs w:val="20"/>
        </w:rPr>
        <w:t xml:space="preserve">l </w:t>
      </w:r>
      <w:r w:rsidRPr="00705032">
        <w:rPr>
          <w:color w:val="000000"/>
          <w:spacing w:val="-4"/>
          <w:sz w:val="20"/>
          <w:szCs w:val="20"/>
        </w:rPr>
        <w:t>g</w:t>
      </w:r>
      <w:r w:rsidRPr="00705032">
        <w:rPr>
          <w:color w:val="000000"/>
          <w:sz w:val="20"/>
          <w:szCs w:val="20"/>
        </w:rPr>
        <w:t>u</w:t>
      </w:r>
      <w:r w:rsidRPr="00705032">
        <w:rPr>
          <w:color w:val="000000"/>
          <w:spacing w:val="-2"/>
          <w:sz w:val="20"/>
          <w:szCs w:val="20"/>
        </w:rPr>
        <w:t>i</w:t>
      </w:r>
      <w:r w:rsidRPr="00705032">
        <w:rPr>
          <w:color w:val="000000"/>
          <w:spacing w:val="-4"/>
          <w:sz w:val="20"/>
          <w:szCs w:val="20"/>
        </w:rPr>
        <w:t>d</w:t>
      </w:r>
      <w:r w:rsidRPr="00705032">
        <w:rPr>
          <w:color w:val="000000"/>
          <w:sz w:val="20"/>
          <w:szCs w:val="20"/>
        </w:rPr>
        <w:t>a</w:t>
      </w:r>
      <w:r w:rsidRPr="00705032">
        <w:rPr>
          <w:color w:val="000000"/>
          <w:spacing w:val="-4"/>
          <w:sz w:val="20"/>
          <w:szCs w:val="20"/>
        </w:rPr>
        <w:t>nc</w:t>
      </w:r>
      <w:r w:rsidRPr="00705032">
        <w:rPr>
          <w:color w:val="000000"/>
          <w:sz w:val="20"/>
          <w:szCs w:val="20"/>
        </w:rPr>
        <w:t>e</w:t>
      </w:r>
      <w:r w:rsidRPr="00705032">
        <w:rPr>
          <w:color w:val="000000"/>
          <w:spacing w:val="-2"/>
          <w:sz w:val="20"/>
          <w:szCs w:val="20"/>
        </w:rPr>
        <w:t xml:space="preserve"> </w:t>
      </w:r>
      <w:r w:rsidRPr="00705032">
        <w:rPr>
          <w:color w:val="000000"/>
          <w:spacing w:val="-4"/>
          <w:sz w:val="20"/>
          <w:szCs w:val="20"/>
        </w:rPr>
        <w:t>b</w:t>
      </w:r>
      <w:r w:rsidRPr="00705032">
        <w:rPr>
          <w:color w:val="000000"/>
          <w:sz w:val="20"/>
          <w:szCs w:val="20"/>
        </w:rPr>
        <w:t>a</w:t>
      </w:r>
      <w:r w:rsidRPr="00705032">
        <w:rPr>
          <w:color w:val="000000"/>
          <w:spacing w:val="-2"/>
          <w:sz w:val="20"/>
          <w:szCs w:val="20"/>
        </w:rPr>
        <w:t>s</w:t>
      </w:r>
      <w:r w:rsidRPr="00705032">
        <w:rPr>
          <w:color w:val="000000"/>
          <w:spacing w:val="-4"/>
          <w:sz w:val="20"/>
          <w:szCs w:val="20"/>
        </w:rPr>
        <w:t>e</w:t>
      </w:r>
      <w:r w:rsidRPr="00705032">
        <w:rPr>
          <w:color w:val="000000"/>
          <w:sz w:val="20"/>
          <w:szCs w:val="20"/>
        </w:rPr>
        <w:t xml:space="preserve">d </w:t>
      </w:r>
      <w:r w:rsidRPr="00705032">
        <w:rPr>
          <w:color w:val="000000"/>
          <w:spacing w:val="-2"/>
          <w:sz w:val="20"/>
          <w:szCs w:val="20"/>
        </w:rPr>
        <w:t>o</w:t>
      </w:r>
      <w:r w:rsidRPr="00705032">
        <w:rPr>
          <w:color w:val="000000"/>
          <w:sz w:val="20"/>
          <w:szCs w:val="20"/>
        </w:rPr>
        <w:t>n f</w:t>
      </w:r>
      <w:r w:rsidRPr="00705032">
        <w:rPr>
          <w:color w:val="000000"/>
          <w:spacing w:val="-4"/>
          <w:sz w:val="20"/>
          <w:szCs w:val="20"/>
        </w:rPr>
        <w:t>e</w:t>
      </w:r>
      <w:r w:rsidRPr="00705032">
        <w:rPr>
          <w:color w:val="000000"/>
          <w:spacing w:val="-2"/>
          <w:sz w:val="20"/>
          <w:szCs w:val="20"/>
        </w:rPr>
        <w:t>d</w:t>
      </w:r>
      <w:r w:rsidRPr="00705032">
        <w:rPr>
          <w:color w:val="000000"/>
          <w:spacing w:val="-4"/>
          <w:sz w:val="20"/>
          <w:szCs w:val="20"/>
        </w:rPr>
        <w:t>er</w:t>
      </w:r>
      <w:r w:rsidRPr="00705032">
        <w:rPr>
          <w:color w:val="000000"/>
          <w:sz w:val="20"/>
          <w:szCs w:val="20"/>
        </w:rPr>
        <w:t>al law</w:t>
      </w:r>
      <w:r w:rsidRPr="00705032">
        <w:rPr>
          <w:color w:val="000000"/>
          <w:spacing w:val="-1"/>
          <w:sz w:val="20"/>
          <w:szCs w:val="20"/>
        </w:rPr>
        <w:t xml:space="preserve"> </w:t>
      </w:r>
      <w:r w:rsidRPr="00705032">
        <w:rPr>
          <w:color w:val="000000"/>
          <w:sz w:val="20"/>
          <w:szCs w:val="20"/>
        </w:rPr>
        <w:t>and regula</w:t>
      </w:r>
      <w:r w:rsidRPr="00705032">
        <w:rPr>
          <w:color w:val="000000"/>
          <w:spacing w:val="-4"/>
          <w:sz w:val="20"/>
          <w:szCs w:val="20"/>
        </w:rPr>
        <w:t>t</w:t>
      </w:r>
      <w:r w:rsidRPr="00705032">
        <w:rPr>
          <w:color w:val="000000"/>
          <w:spacing w:val="-2"/>
          <w:sz w:val="20"/>
          <w:szCs w:val="20"/>
        </w:rPr>
        <w:t>i</w:t>
      </w:r>
      <w:r w:rsidR="00705032">
        <w:rPr>
          <w:color w:val="000000"/>
          <w:sz w:val="20"/>
          <w:szCs w:val="20"/>
        </w:rPr>
        <w:t>ons</w:t>
      </w:r>
      <w:r w:rsidRPr="00705032">
        <w:rPr>
          <w:color w:val="000000"/>
          <w:sz w:val="20"/>
          <w:szCs w:val="20"/>
        </w:rPr>
        <w:t xml:space="preserve"> and do</w:t>
      </w:r>
      <w:r w:rsidRPr="00705032">
        <w:rPr>
          <w:color w:val="000000"/>
          <w:spacing w:val="1"/>
          <w:sz w:val="20"/>
          <w:szCs w:val="20"/>
        </w:rPr>
        <w:t xml:space="preserve"> </w:t>
      </w:r>
      <w:r w:rsidRPr="00705032">
        <w:rPr>
          <w:color w:val="000000"/>
          <w:sz w:val="20"/>
          <w:szCs w:val="20"/>
        </w:rPr>
        <w:t>not necessarily</w:t>
      </w:r>
      <w:r w:rsidRPr="00705032">
        <w:rPr>
          <w:color w:val="000000"/>
          <w:spacing w:val="1"/>
          <w:sz w:val="20"/>
          <w:szCs w:val="20"/>
        </w:rPr>
        <w:t xml:space="preserve"> </w:t>
      </w:r>
      <w:r w:rsidRPr="00705032">
        <w:rPr>
          <w:color w:val="000000"/>
          <w:sz w:val="20"/>
          <w:szCs w:val="20"/>
        </w:rPr>
        <w:t>a</w:t>
      </w:r>
      <w:r w:rsidRPr="00705032">
        <w:rPr>
          <w:color w:val="000000"/>
          <w:spacing w:val="-4"/>
          <w:sz w:val="20"/>
          <w:szCs w:val="20"/>
        </w:rPr>
        <w:t>pp</w:t>
      </w:r>
      <w:r w:rsidRPr="00705032">
        <w:rPr>
          <w:color w:val="000000"/>
          <w:sz w:val="20"/>
          <w:szCs w:val="20"/>
        </w:rPr>
        <w:t>ly</w:t>
      </w:r>
      <w:r w:rsidRPr="00705032">
        <w:rPr>
          <w:color w:val="000000"/>
          <w:spacing w:val="3"/>
          <w:sz w:val="20"/>
          <w:szCs w:val="20"/>
        </w:rPr>
        <w:t xml:space="preserve"> </w:t>
      </w:r>
      <w:r w:rsidRPr="00705032">
        <w:rPr>
          <w:color w:val="000000"/>
          <w:spacing w:val="-4"/>
          <w:sz w:val="20"/>
          <w:szCs w:val="20"/>
        </w:rPr>
        <w:t>t</w:t>
      </w:r>
      <w:r w:rsidRPr="00705032">
        <w:rPr>
          <w:color w:val="000000"/>
          <w:sz w:val="20"/>
          <w:szCs w:val="20"/>
        </w:rPr>
        <w:t>o</w:t>
      </w:r>
      <w:r w:rsidRPr="00705032">
        <w:rPr>
          <w:color w:val="000000"/>
          <w:spacing w:val="2"/>
          <w:sz w:val="20"/>
          <w:szCs w:val="20"/>
        </w:rPr>
        <w:t xml:space="preserve"> </w:t>
      </w:r>
      <w:r w:rsidRPr="00705032">
        <w:rPr>
          <w:color w:val="000000"/>
          <w:sz w:val="20"/>
          <w:szCs w:val="20"/>
        </w:rPr>
        <w:t>all</w:t>
      </w:r>
      <w:r w:rsidRPr="00705032">
        <w:rPr>
          <w:color w:val="000000"/>
          <w:spacing w:val="1"/>
          <w:sz w:val="20"/>
          <w:szCs w:val="20"/>
        </w:rPr>
        <w:t xml:space="preserve"> </w:t>
      </w:r>
      <w:r w:rsidRPr="00705032">
        <w:rPr>
          <w:color w:val="000000"/>
          <w:sz w:val="20"/>
          <w:szCs w:val="20"/>
        </w:rPr>
        <w:t>PCA</w:t>
      </w:r>
      <w:r w:rsidR="00333CF4">
        <w:rPr>
          <w:color w:val="000000"/>
          <w:sz w:val="20"/>
          <w:szCs w:val="20"/>
        </w:rPr>
        <w:t>-HCCNs</w:t>
      </w:r>
      <w:r w:rsidRPr="00705032">
        <w:rPr>
          <w:color w:val="000000"/>
          <w:spacing w:val="1"/>
          <w:sz w:val="20"/>
          <w:szCs w:val="20"/>
        </w:rPr>
        <w:t xml:space="preserve"> </w:t>
      </w:r>
      <w:r w:rsidRPr="00705032">
        <w:rPr>
          <w:color w:val="000000"/>
          <w:sz w:val="20"/>
          <w:szCs w:val="20"/>
        </w:rPr>
        <w:t>under</w:t>
      </w:r>
      <w:r w:rsidRPr="00705032">
        <w:rPr>
          <w:color w:val="000000"/>
          <w:spacing w:val="1"/>
          <w:sz w:val="20"/>
          <w:szCs w:val="20"/>
        </w:rPr>
        <w:t xml:space="preserve"> </w:t>
      </w:r>
      <w:r w:rsidRPr="00705032">
        <w:rPr>
          <w:color w:val="000000"/>
          <w:spacing w:val="-2"/>
          <w:sz w:val="20"/>
          <w:szCs w:val="20"/>
        </w:rPr>
        <w:t>a</w:t>
      </w:r>
      <w:r w:rsidRPr="00705032">
        <w:rPr>
          <w:color w:val="000000"/>
          <w:sz w:val="20"/>
          <w:szCs w:val="20"/>
        </w:rPr>
        <w:t>ll</w:t>
      </w:r>
      <w:r w:rsidRPr="00705032">
        <w:rPr>
          <w:color w:val="000000"/>
          <w:spacing w:val="1"/>
          <w:sz w:val="20"/>
          <w:szCs w:val="20"/>
        </w:rPr>
        <w:t xml:space="preserve"> </w:t>
      </w:r>
      <w:r w:rsidRPr="00705032">
        <w:rPr>
          <w:color w:val="000000"/>
          <w:sz w:val="20"/>
          <w:szCs w:val="20"/>
        </w:rPr>
        <w:t>facts</w:t>
      </w:r>
      <w:r w:rsidRPr="00705032">
        <w:rPr>
          <w:color w:val="000000"/>
          <w:spacing w:val="1"/>
          <w:sz w:val="20"/>
          <w:szCs w:val="20"/>
        </w:rPr>
        <w:t xml:space="preserve"> </w:t>
      </w:r>
      <w:r w:rsidRPr="00705032">
        <w:rPr>
          <w:color w:val="000000"/>
          <w:sz w:val="20"/>
          <w:szCs w:val="20"/>
        </w:rPr>
        <w:t>and</w:t>
      </w:r>
      <w:r w:rsidRPr="00705032">
        <w:rPr>
          <w:color w:val="000000"/>
          <w:spacing w:val="1"/>
          <w:sz w:val="20"/>
          <w:szCs w:val="20"/>
        </w:rPr>
        <w:t xml:space="preserve"> </w:t>
      </w:r>
      <w:r w:rsidRPr="00705032">
        <w:rPr>
          <w:color w:val="000000"/>
          <w:sz w:val="20"/>
          <w:szCs w:val="20"/>
        </w:rPr>
        <w:t>circ</w:t>
      </w:r>
      <w:r w:rsidRPr="00705032">
        <w:rPr>
          <w:color w:val="000000"/>
          <w:spacing w:val="-2"/>
          <w:sz w:val="20"/>
          <w:szCs w:val="20"/>
        </w:rPr>
        <w:t>u</w:t>
      </w:r>
      <w:r w:rsidRPr="00705032">
        <w:rPr>
          <w:color w:val="000000"/>
          <w:spacing w:val="-4"/>
          <w:sz w:val="20"/>
          <w:szCs w:val="20"/>
        </w:rPr>
        <w:t>m</w:t>
      </w:r>
      <w:r w:rsidRPr="00705032">
        <w:rPr>
          <w:color w:val="000000"/>
          <w:spacing w:val="-2"/>
          <w:sz w:val="20"/>
          <w:szCs w:val="20"/>
        </w:rPr>
        <w:t>s</w:t>
      </w:r>
      <w:r w:rsidRPr="00705032">
        <w:rPr>
          <w:color w:val="000000"/>
          <w:spacing w:val="-4"/>
          <w:sz w:val="20"/>
          <w:szCs w:val="20"/>
        </w:rPr>
        <w:t>t</w:t>
      </w:r>
      <w:r w:rsidRPr="00705032">
        <w:rPr>
          <w:color w:val="000000"/>
          <w:sz w:val="20"/>
          <w:szCs w:val="20"/>
        </w:rPr>
        <w:t>anc</w:t>
      </w:r>
      <w:r w:rsidRPr="00705032">
        <w:rPr>
          <w:color w:val="000000"/>
          <w:spacing w:val="-4"/>
          <w:sz w:val="20"/>
          <w:szCs w:val="20"/>
        </w:rPr>
        <w:t>e</w:t>
      </w:r>
      <w:r w:rsidRPr="00705032">
        <w:rPr>
          <w:color w:val="000000"/>
          <w:sz w:val="20"/>
          <w:szCs w:val="20"/>
        </w:rPr>
        <w:t>s. Furthe</w:t>
      </w:r>
      <w:r w:rsidRPr="00705032">
        <w:rPr>
          <w:color w:val="000000"/>
          <w:spacing w:val="-2"/>
          <w:sz w:val="20"/>
          <w:szCs w:val="20"/>
        </w:rPr>
        <w:t>r</w:t>
      </w:r>
      <w:r w:rsidRPr="00705032">
        <w:rPr>
          <w:color w:val="000000"/>
          <w:sz w:val="20"/>
          <w:szCs w:val="20"/>
        </w:rPr>
        <w:t>,</w:t>
      </w:r>
      <w:r w:rsidRPr="00705032">
        <w:rPr>
          <w:color w:val="000000"/>
          <w:spacing w:val="1"/>
          <w:sz w:val="20"/>
          <w:szCs w:val="20"/>
        </w:rPr>
        <w:t xml:space="preserve"> </w:t>
      </w:r>
      <w:r w:rsidRPr="00705032">
        <w:rPr>
          <w:color w:val="000000"/>
          <w:sz w:val="20"/>
          <w:szCs w:val="20"/>
        </w:rPr>
        <w:t>these</w:t>
      </w:r>
      <w:r w:rsidRPr="00705032">
        <w:rPr>
          <w:color w:val="000000"/>
          <w:spacing w:val="2"/>
          <w:sz w:val="20"/>
          <w:szCs w:val="20"/>
        </w:rPr>
        <w:t xml:space="preserve"> </w:t>
      </w:r>
      <w:r w:rsidRPr="00705032">
        <w:rPr>
          <w:color w:val="000000"/>
          <w:sz w:val="20"/>
          <w:szCs w:val="20"/>
        </w:rPr>
        <w:t>materials do</w:t>
      </w:r>
      <w:r w:rsidRPr="00705032">
        <w:rPr>
          <w:color w:val="000000"/>
          <w:spacing w:val="-6"/>
          <w:sz w:val="20"/>
          <w:szCs w:val="20"/>
        </w:rPr>
        <w:t xml:space="preserve"> </w:t>
      </w:r>
      <w:r w:rsidRPr="00705032">
        <w:rPr>
          <w:color w:val="000000"/>
          <w:sz w:val="20"/>
          <w:szCs w:val="20"/>
        </w:rPr>
        <w:t>not</w:t>
      </w:r>
      <w:r w:rsidRPr="00705032">
        <w:rPr>
          <w:color w:val="000000"/>
          <w:spacing w:val="-7"/>
          <w:sz w:val="20"/>
          <w:szCs w:val="20"/>
        </w:rPr>
        <w:t xml:space="preserve"> </w:t>
      </w:r>
      <w:r w:rsidRPr="00705032">
        <w:rPr>
          <w:color w:val="000000"/>
          <w:sz w:val="20"/>
          <w:szCs w:val="20"/>
        </w:rPr>
        <w:t>repl</w:t>
      </w:r>
      <w:r w:rsidRPr="00705032">
        <w:rPr>
          <w:color w:val="000000"/>
          <w:spacing w:val="-2"/>
          <w:sz w:val="20"/>
          <w:szCs w:val="20"/>
        </w:rPr>
        <w:t>a</w:t>
      </w:r>
      <w:r w:rsidRPr="00705032">
        <w:rPr>
          <w:color w:val="000000"/>
          <w:spacing w:val="-4"/>
          <w:sz w:val="20"/>
          <w:szCs w:val="20"/>
        </w:rPr>
        <w:t>c</w:t>
      </w:r>
      <w:r w:rsidRPr="00705032">
        <w:rPr>
          <w:color w:val="000000"/>
          <w:sz w:val="20"/>
          <w:szCs w:val="20"/>
        </w:rPr>
        <w:t>e,</w:t>
      </w:r>
      <w:r w:rsidRPr="00705032">
        <w:rPr>
          <w:color w:val="000000"/>
          <w:spacing w:val="-6"/>
          <w:sz w:val="20"/>
          <w:szCs w:val="20"/>
        </w:rPr>
        <w:t xml:space="preserve"> </w:t>
      </w:r>
      <w:r w:rsidRPr="00705032">
        <w:rPr>
          <w:color w:val="000000"/>
          <w:sz w:val="20"/>
          <w:szCs w:val="20"/>
        </w:rPr>
        <w:t>and</w:t>
      </w:r>
      <w:r w:rsidRPr="00705032">
        <w:rPr>
          <w:color w:val="000000"/>
          <w:spacing w:val="-6"/>
          <w:sz w:val="20"/>
          <w:szCs w:val="20"/>
        </w:rPr>
        <w:t xml:space="preserve"> </w:t>
      </w:r>
      <w:r w:rsidRPr="00705032">
        <w:rPr>
          <w:color w:val="000000"/>
          <w:sz w:val="20"/>
          <w:szCs w:val="20"/>
        </w:rPr>
        <w:t>are</w:t>
      </w:r>
      <w:r w:rsidRPr="00705032">
        <w:rPr>
          <w:color w:val="000000"/>
          <w:spacing w:val="-6"/>
          <w:sz w:val="20"/>
          <w:szCs w:val="20"/>
        </w:rPr>
        <w:t xml:space="preserve"> </w:t>
      </w:r>
      <w:r w:rsidRPr="00705032">
        <w:rPr>
          <w:color w:val="000000"/>
          <w:sz w:val="20"/>
          <w:szCs w:val="20"/>
        </w:rPr>
        <w:t>not</w:t>
      </w:r>
      <w:r w:rsidRPr="00705032">
        <w:rPr>
          <w:color w:val="000000"/>
          <w:spacing w:val="-7"/>
          <w:sz w:val="20"/>
          <w:szCs w:val="20"/>
        </w:rPr>
        <w:t xml:space="preserve"> </w:t>
      </w:r>
      <w:r w:rsidRPr="00705032">
        <w:rPr>
          <w:color w:val="000000"/>
          <w:sz w:val="20"/>
          <w:szCs w:val="20"/>
        </w:rPr>
        <w:t>a</w:t>
      </w:r>
      <w:r w:rsidRPr="00705032">
        <w:rPr>
          <w:color w:val="000000"/>
          <w:spacing w:val="-5"/>
          <w:sz w:val="20"/>
          <w:szCs w:val="20"/>
        </w:rPr>
        <w:t xml:space="preserve"> </w:t>
      </w:r>
      <w:r w:rsidRPr="00705032">
        <w:rPr>
          <w:color w:val="000000"/>
          <w:sz w:val="20"/>
          <w:szCs w:val="20"/>
        </w:rPr>
        <w:t>subs</w:t>
      </w:r>
      <w:r w:rsidRPr="00705032">
        <w:rPr>
          <w:color w:val="000000"/>
          <w:spacing w:val="-4"/>
          <w:sz w:val="20"/>
          <w:szCs w:val="20"/>
        </w:rPr>
        <w:t>t</w:t>
      </w:r>
      <w:r w:rsidRPr="00705032">
        <w:rPr>
          <w:color w:val="000000"/>
          <w:spacing w:val="-2"/>
          <w:sz w:val="20"/>
          <w:szCs w:val="20"/>
        </w:rPr>
        <w:t>i</w:t>
      </w:r>
      <w:r w:rsidRPr="00705032">
        <w:rPr>
          <w:color w:val="000000"/>
          <w:spacing w:val="-4"/>
          <w:sz w:val="20"/>
          <w:szCs w:val="20"/>
        </w:rPr>
        <w:t>t</w:t>
      </w:r>
      <w:r w:rsidRPr="00705032">
        <w:rPr>
          <w:color w:val="000000"/>
          <w:spacing w:val="-2"/>
          <w:sz w:val="20"/>
          <w:szCs w:val="20"/>
        </w:rPr>
        <w:t>u</w:t>
      </w:r>
      <w:r w:rsidRPr="00705032">
        <w:rPr>
          <w:color w:val="000000"/>
          <w:spacing w:val="-4"/>
          <w:sz w:val="20"/>
          <w:szCs w:val="20"/>
        </w:rPr>
        <w:t>t</w:t>
      </w:r>
      <w:r w:rsidRPr="00705032">
        <w:rPr>
          <w:color w:val="000000"/>
          <w:sz w:val="20"/>
          <w:szCs w:val="20"/>
        </w:rPr>
        <w:t>e</w:t>
      </w:r>
      <w:r w:rsidRPr="00705032">
        <w:rPr>
          <w:color w:val="000000"/>
          <w:spacing w:val="-7"/>
          <w:sz w:val="20"/>
          <w:szCs w:val="20"/>
        </w:rPr>
        <w:t xml:space="preserve"> </w:t>
      </w:r>
      <w:r w:rsidRPr="00705032">
        <w:rPr>
          <w:color w:val="000000"/>
          <w:spacing w:val="-2"/>
          <w:sz w:val="20"/>
          <w:szCs w:val="20"/>
        </w:rPr>
        <w:t>f</w:t>
      </w:r>
      <w:r w:rsidRPr="00705032">
        <w:rPr>
          <w:color w:val="000000"/>
          <w:spacing w:val="-4"/>
          <w:sz w:val="20"/>
          <w:szCs w:val="20"/>
        </w:rPr>
        <w:t>o</w:t>
      </w:r>
      <w:r w:rsidRPr="00705032">
        <w:rPr>
          <w:color w:val="000000"/>
          <w:sz w:val="20"/>
          <w:szCs w:val="20"/>
        </w:rPr>
        <w:t>r,</w:t>
      </w:r>
      <w:r w:rsidRPr="00705032">
        <w:rPr>
          <w:color w:val="000000"/>
          <w:spacing w:val="-4"/>
          <w:sz w:val="20"/>
          <w:szCs w:val="20"/>
        </w:rPr>
        <w:t xml:space="preserve"> </w:t>
      </w:r>
      <w:r w:rsidRPr="00705032">
        <w:rPr>
          <w:color w:val="000000"/>
          <w:sz w:val="20"/>
          <w:szCs w:val="20"/>
        </w:rPr>
        <w:t>legal</w:t>
      </w:r>
      <w:r w:rsidRPr="00705032">
        <w:rPr>
          <w:color w:val="000000"/>
          <w:spacing w:val="-7"/>
          <w:sz w:val="20"/>
          <w:szCs w:val="20"/>
        </w:rPr>
        <w:t xml:space="preserve"> </w:t>
      </w:r>
      <w:r w:rsidRPr="00705032">
        <w:rPr>
          <w:color w:val="000000"/>
          <w:sz w:val="20"/>
          <w:szCs w:val="20"/>
        </w:rPr>
        <w:t>adv</w:t>
      </w:r>
      <w:r w:rsidRPr="00705032">
        <w:rPr>
          <w:color w:val="000000"/>
          <w:spacing w:val="-2"/>
          <w:sz w:val="20"/>
          <w:szCs w:val="20"/>
        </w:rPr>
        <w:t>i</w:t>
      </w:r>
      <w:r w:rsidRPr="00705032">
        <w:rPr>
          <w:color w:val="000000"/>
          <w:sz w:val="20"/>
          <w:szCs w:val="20"/>
        </w:rPr>
        <w:t>ce</w:t>
      </w:r>
      <w:r w:rsidRPr="00705032">
        <w:rPr>
          <w:color w:val="000000"/>
          <w:spacing w:val="-7"/>
          <w:sz w:val="20"/>
          <w:szCs w:val="20"/>
        </w:rPr>
        <w:t xml:space="preserve"> </w:t>
      </w:r>
      <w:r w:rsidRPr="00705032">
        <w:rPr>
          <w:color w:val="000000"/>
          <w:spacing w:val="-2"/>
          <w:sz w:val="20"/>
          <w:szCs w:val="20"/>
        </w:rPr>
        <w:t>f</w:t>
      </w:r>
      <w:r w:rsidRPr="00705032">
        <w:rPr>
          <w:color w:val="000000"/>
          <w:spacing w:val="-4"/>
          <w:sz w:val="20"/>
          <w:szCs w:val="20"/>
        </w:rPr>
        <w:t>r</w:t>
      </w:r>
      <w:r w:rsidRPr="00705032">
        <w:rPr>
          <w:color w:val="000000"/>
          <w:sz w:val="20"/>
          <w:szCs w:val="20"/>
        </w:rPr>
        <w:t>om</w:t>
      </w:r>
      <w:r w:rsidRPr="00705032">
        <w:rPr>
          <w:color w:val="000000"/>
          <w:spacing w:val="-7"/>
          <w:sz w:val="20"/>
          <w:szCs w:val="20"/>
        </w:rPr>
        <w:t xml:space="preserve"> </w:t>
      </w:r>
      <w:r w:rsidRPr="00705032">
        <w:rPr>
          <w:color w:val="000000"/>
          <w:sz w:val="20"/>
          <w:szCs w:val="20"/>
        </w:rPr>
        <w:t>qualified</w:t>
      </w:r>
      <w:r w:rsidRPr="00705032">
        <w:rPr>
          <w:color w:val="000000"/>
          <w:spacing w:val="-5"/>
          <w:sz w:val="20"/>
          <w:szCs w:val="20"/>
        </w:rPr>
        <w:t xml:space="preserve"> </w:t>
      </w:r>
      <w:r w:rsidRPr="00705032">
        <w:rPr>
          <w:color w:val="000000"/>
          <w:sz w:val="20"/>
          <w:szCs w:val="20"/>
        </w:rPr>
        <w:t>legal</w:t>
      </w:r>
      <w:r w:rsidRPr="00705032">
        <w:rPr>
          <w:color w:val="000000"/>
          <w:spacing w:val="-7"/>
          <w:sz w:val="20"/>
          <w:szCs w:val="20"/>
        </w:rPr>
        <w:t xml:space="preserve"> </w:t>
      </w:r>
      <w:r w:rsidRPr="00705032">
        <w:rPr>
          <w:color w:val="000000"/>
          <w:sz w:val="20"/>
          <w:szCs w:val="20"/>
        </w:rPr>
        <w:t>co</w:t>
      </w:r>
      <w:r w:rsidRPr="00705032">
        <w:rPr>
          <w:color w:val="000000"/>
          <w:spacing w:val="-2"/>
          <w:sz w:val="20"/>
          <w:szCs w:val="20"/>
        </w:rPr>
        <w:t>u</w:t>
      </w:r>
      <w:r w:rsidRPr="00705032">
        <w:rPr>
          <w:color w:val="000000"/>
          <w:spacing w:val="-4"/>
          <w:sz w:val="20"/>
          <w:szCs w:val="20"/>
        </w:rPr>
        <w:t>n</w:t>
      </w:r>
      <w:r w:rsidRPr="00705032">
        <w:rPr>
          <w:color w:val="000000"/>
          <w:sz w:val="20"/>
          <w:szCs w:val="20"/>
        </w:rPr>
        <w:t>se</w:t>
      </w:r>
      <w:r w:rsidRPr="00705032">
        <w:rPr>
          <w:color w:val="000000"/>
          <w:spacing w:val="-2"/>
          <w:sz w:val="20"/>
          <w:szCs w:val="20"/>
        </w:rPr>
        <w:t>l</w:t>
      </w:r>
      <w:r w:rsidRPr="00705032">
        <w:rPr>
          <w:color w:val="000000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FD" w:rsidRDefault="008E56FD" w:rsidP="008E56FD">
    <w:pPr>
      <w:jc w:val="center"/>
      <w:rPr>
        <w:sz w:val="20"/>
      </w:rPr>
    </w:pPr>
    <w:r>
      <w:rPr>
        <w:sz w:val="20"/>
      </w:rPr>
      <w:t>V</w:t>
    </w:r>
    <w:r w:rsidR="00333CF4">
      <w:rPr>
        <w:sz w:val="20"/>
      </w:rPr>
      <w:t xml:space="preserve">olume II: </w:t>
    </w:r>
    <w:r>
      <w:rPr>
        <w:sz w:val="20"/>
      </w:rPr>
      <w:t>PCA</w:t>
    </w:r>
    <w:r w:rsidR="00333CF4">
      <w:rPr>
        <w:sz w:val="20"/>
      </w:rPr>
      <w:t>-HCCN</w:t>
    </w:r>
    <w:r>
      <w:rPr>
        <w:sz w:val="20"/>
      </w:rPr>
      <w:t xml:space="preserve"> Risk Areas</w:t>
    </w:r>
  </w:p>
  <w:p w:rsidR="008E56FD" w:rsidRDefault="008E56FD" w:rsidP="008E56FD">
    <w:pPr>
      <w:pBdr>
        <w:bottom w:val="single" w:sz="12" w:space="0" w:color="auto"/>
      </w:pBdr>
      <w:jc w:val="center"/>
      <w:rPr>
        <w:sz w:val="20"/>
      </w:rPr>
    </w:pPr>
    <w:r>
      <w:rPr>
        <w:sz w:val="20"/>
      </w:rPr>
      <w:t>Product Development</w:t>
    </w:r>
  </w:p>
  <w:p w:rsidR="008E56FD" w:rsidRPr="00F354EE" w:rsidRDefault="008E56FD" w:rsidP="008E56FD">
    <w:pPr>
      <w:pBdr>
        <w:bottom w:val="single" w:sz="12" w:space="0" w:color="auto"/>
      </w:pBdr>
      <w:jc w:val="center"/>
      <w:rPr>
        <w:sz w:val="20"/>
      </w:rPr>
    </w:pPr>
  </w:p>
  <w:p w:rsidR="008E56FD" w:rsidRDefault="008E56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EC1"/>
    <w:multiLevelType w:val="hybridMultilevel"/>
    <w:tmpl w:val="F52C3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F7EE4"/>
    <w:multiLevelType w:val="hybridMultilevel"/>
    <w:tmpl w:val="9BB8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375DA"/>
    <w:multiLevelType w:val="hybridMultilevel"/>
    <w:tmpl w:val="01AEA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3376CE"/>
    <w:multiLevelType w:val="hybridMultilevel"/>
    <w:tmpl w:val="A852D07A"/>
    <w:lvl w:ilvl="0" w:tplc="7612217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BA"/>
    <w:rsid w:val="0000738F"/>
    <w:rsid w:val="000B4285"/>
    <w:rsid w:val="000C20AB"/>
    <w:rsid w:val="00100E51"/>
    <w:rsid w:val="0012526F"/>
    <w:rsid w:val="00151F46"/>
    <w:rsid w:val="00186080"/>
    <w:rsid w:val="001C2C81"/>
    <w:rsid w:val="001F116B"/>
    <w:rsid w:val="00235D7B"/>
    <w:rsid w:val="00324D3D"/>
    <w:rsid w:val="00333CF4"/>
    <w:rsid w:val="0036018B"/>
    <w:rsid w:val="00402749"/>
    <w:rsid w:val="00425550"/>
    <w:rsid w:val="0048652C"/>
    <w:rsid w:val="005020BA"/>
    <w:rsid w:val="005C0006"/>
    <w:rsid w:val="005C7454"/>
    <w:rsid w:val="005D41A5"/>
    <w:rsid w:val="005F1106"/>
    <w:rsid w:val="00622042"/>
    <w:rsid w:val="0066796C"/>
    <w:rsid w:val="006B17FF"/>
    <w:rsid w:val="006C4370"/>
    <w:rsid w:val="00705032"/>
    <w:rsid w:val="007625CD"/>
    <w:rsid w:val="007A365F"/>
    <w:rsid w:val="007B3875"/>
    <w:rsid w:val="007F6206"/>
    <w:rsid w:val="008A7438"/>
    <w:rsid w:val="008C45C4"/>
    <w:rsid w:val="008C76F4"/>
    <w:rsid w:val="008E56FD"/>
    <w:rsid w:val="00902536"/>
    <w:rsid w:val="0091188D"/>
    <w:rsid w:val="00914D44"/>
    <w:rsid w:val="00920444"/>
    <w:rsid w:val="00947EDD"/>
    <w:rsid w:val="009539F6"/>
    <w:rsid w:val="00957401"/>
    <w:rsid w:val="00A32B83"/>
    <w:rsid w:val="00A95BAD"/>
    <w:rsid w:val="00B21995"/>
    <w:rsid w:val="00BD23E9"/>
    <w:rsid w:val="00C05D67"/>
    <w:rsid w:val="00C8366F"/>
    <w:rsid w:val="00D02674"/>
    <w:rsid w:val="00D328F1"/>
    <w:rsid w:val="00D503B5"/>
    <w:rsid w:val="00D565F5"/>
    <w:rsid w:val="00DA5DD4"/>
    <w:rsid w:val="00DB2F67"/>
    <w:rsid w:val="00DD00D7"/>
    <w:rsid w:val="00E036FD"/>
    <w:rsid w:val="00E60497"/>
    <w:rsid w:val="00F4103E"/>
    <w:rsid w:val="00FB4A1B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BA"/>
    <w:pPr>
      <w:spacing w:after="0" w:line="240" w:lineRule="auto"/>
    </w:pPr>
    <w:rPr>
      <w:rFonts w:ascii="Times New Roman" w:eastAsia="Times New Roman" w:hAnsi="Times New Roman" w:cs="Times New Roman"/>
      <w:bCs/>
      <w:spacing w:val="-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E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56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6FD"/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6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6FD"/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6FD"/>
    <w:rPr>
      <w:rFonts w:ascii="Tahoma" w:eastAsia="Times New Roman" w:hAnsi="Tahoma" w:cs="Tahoma"/>
      <w:bCs/>
      <w:spacing w:val="-3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652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36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365F"/>
    <w:rPr>
      <w:rFonts w:ascii="Times New Roman" w:eastAsia="Times New Roman" w:hAnsi="Times New Roman" w:cs="Times New Roman"/>
      <w:bCs/>
      <w:spacing w:val="-3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365F"/>
    <w:rPr>
      <w:vertAlign w:val="superscript"/>
    </w:rPr>
  </w:style>
  <w:style w:type="paragraph" w:styleId="ListParagraph">
    <w:name w:val="List Paragraph"/>
    <w:basedOn w:val="Normal"/>
    <w:uiPriority w:val="34"/>
    <w:qFormat/>
    <w:rsid w:val="001C2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BA"/>
    <w:pPr>
      <w:spacing w:after="0" w:line="240" w:lineRule="auto"/>
    </w:pPr>
    <w:rPr>
      <w:rFonts w:ascii="Times New Roman" w:eastAsia="Times New Roman" w:hAnsi="Times New Roman" w:cs="Times New Roman"/>
      <w:bCs/>
      <w:spacing w:val="-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E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56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6FD"/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6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6FD"/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6FD"/>
    <w:rPr>
      <w:rFonts w:ascii="Tahoma" w:eastAsia="Times New Roman" w:hAnsi="Tahoma" w:cs="Tahoma"/>
      <w:bCs/>
      <w:spacing w:val="-3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652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36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365F"/>
    <w:rPr>
      <w:rFonts w:ascii="Times New Roman" w:eastAsia="Times New Roman" w:hAnsi="Times New Roman" w:cs="Times New Roman"/>
      <w:bCs/>
      <w:spacing w:val="-3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365F"/>
    <w:rPr>
      <w:vertAlign w:val="superscript"/>
    </w:rPr>
  </w:style>
  <w:style w:type="paragraph" w:styleId="ListParagraph">
    <w:name w:val="List Paragraph"/>
    <w:basedOn w:val="Normal"/>
    <w:uiPriority w:val="34"/>
    <w:qFormat/>
    <w:rsid w:val="001C2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ealthcentercompliance.com/subscriber/pca-toolkit/volume-2/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82C8D-2C02-40AD-B6E6-F4F3682E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Feldesman Tucker Leifer Fidell LLP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Falcone, Adam J.</dc:creator>
  <cp:lastModifiedBy>Zimbro, Karen</cp:lastModifiedBy>
  <cp:revision>4</cp:revision>
  <cp:lastPrinted>2015-11-09T14:44:00Z</cp:lastPrinted>
  <dcterms:created xsi:type="dcterms:W3CDTF">2015-11-09T14:43:00Z</dcterms:created>
  <dcterms:modified xsi:type="dcterms:W3CDTF">2015-11-09T17:36:00Z</dcterms:modified>
</cp:coreProperties>
</file>