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8E" w:rsidRPr="002D47BE" w:rsidRDefault="00332D8E" w:rsidP="00EC1E05">
      <w:pPr>
        <w:autoSpaceDE w:val="0"/>
        <w:autoSpaceDN w:val="0"/>
        <w:adjustRightInd w:val="0"/>
        <w:spacing w:before="11"/>
        <w:jc w:val="center"/>
        <w:rPr>
          <w:b/>
          <w:bCs w:val="0"/>
          <w:spacing w:val="0"/>
          <w:sz w:val="32"/>
        </w:rPr>
      </w:pPr>
      <w:r w:rsidRPr="002D47BE">
        <w:rPr>
          <w:b/>
          <w:spacing w:val="0"/>
          <w:sz w:val="32"/>
        </w:rPr>
        <w:t>Sample Policy and Procedure: Fundraising</w:t>
      </w:r>
      <w:r w:rsidRPr="002D47BE">
        <w:rPr>
          <w:rStyle w:val="FootnoteReference"/>
          <w:b/>
          <w:spacing w:val="0"/>
          <w:sz w:val="32"/>
        </w:rPr>
        <w:footnoteReference w:id="1"/>
      </w:r>
    </w:p>
    <w:p w:rsidR="00332D8E" w:rsidRPr="002D47BE" w:rsidRDefault="00332D8E" w:rsidP="00EC1E05">
      <w:pPr>
        <w:pBdr>
          <w:bottom w:val="single" w:sz="12" w:space="1" w:color="auto"/>
        </w:pBdr>
        <w:autoSpaceDE w:val="0"/>
        <w:autoSpaceDN w:val="0"/>
        <w:adjustRightInd w:val="0"/>
        <w:ind w:right="-20"/>
        <w:jc w:val="both"/>
        <w:rPr>
          <w:b/>
          <w:bCs w:val="0"/>
          <w:spacing w:val="0"/>
        </w:rPr>
      </w:pPr>
    </w:p>
    <w:p w:rsidR="00637056" w:rsidRPr="002D47BE" w:rsidRDefault="00637056" w:rsidP="00EC1E05">
      <w:pPr>
        <w:jc w:val="both"/>
        <w:rPr>
          <w:spacing w:val="0"/>
        </w:rPr>
      </w:pPr>
    </w:p>
    <w:p w:rsidR="00637056" w:rsidRPr="002D47BE" w:rsidRDefault="005007F0" w:rsidP="00EC1E05">
      <w:pPr>
        <w:pStyle w:val="Heading1"/>
        <w:jc w:val="both"/>
        <w:rPr>
          <w:spacing w:val="0"/>
          <w:sz w:val="24"/>
        </w:rPr>
      </w:pPr>
      <w:r w:rsidRPr="002D47BE">
        <w:rPr>
          <w:b/>
          <w:spacing w:val="0"/>
          <w:sz w:val="24"/>
        </w:rPr>
        <w:t>Policy</w:t>
      </w:r>
      <w:r w:rsidR="00330F4F" w:rsidRPr="002D47BE">
        <w:rPr>
          <w:b/>
          <w:spacing w:val="0"/>
          <w:sz w:val="24"/>
        </w:rPr>
        <w:t>.</w:t>
      </w:r>
    </w:p>
    <w:p w:rsidR="00637056" w:rsidRPr="002D47BE" w:rsidRDefault="00637056" w:rsidP="00EC1E05">
      <w:pPr>
        <w:jc w:val="both"/>
        <w:rPr>
          <w:spacing w:val="0"/>
        </w:rPr>
      </w:pPr>
    </w:p>
    <w:p w:rsidR="00637056" w:rsidRPr="002D47BE" w:rsidRDefault="00637056" w:rsidP="00EC1E05">
      <w:pPr>
        <w:jc w:val="both"/>
        <w:rPr>
          <w:spacing w:val="0"/>
        </w:rPr>
      </w:pPr>
      <w:r w:rsidRPr="002D47BE">
        <w:rPr>
          <w:spacing w:val="0"/>
        </w:rPr>
        <w:t xml:space="preserve">It is the policy </w:t>
      </w:r>
      <w:r w:rsidR="008727DD" w:rsidRPr="002D47BE">
        <w:rPr>
          <w:spacing w:val="0"/>
        </w:rPr>
        <w:t>of [</w:t>
      </w:r>
      <w:r w:rsidR="008727DD" w:rsidRPr="002D47BE">
        <w:rPr>
          <w:i/>
          <w:spacing w:val="0"/>
        </w:rPr>
        <w:t>PCA-HCCN name</w:t>
      </w:r>
      <w:r w:rsidR="008727DD" w:rsidRPr="002D47BE">
        <w:rPr>
          <w:spacing w:val="0"/>
        </w:rPr>
        <w:t xml:space="preserve">] (“PCA-HCCN”) </w:t>
      </w:r>
      <w:r w:rsidRPr="002D47BE">
        <w:rPr>
          <w:spacing w:val="0"/>
        </w:rPr>
        <w:t>to conduct all fundraising activities (including accessing private philanthropy and corporate sponsorship) in a manner that maximizes access to funds while minimizing financial and legal e</w:t>
      </w:r>
      <w:r w:rsidR="00F00322" w:rsidRPr="002D47BE">
        <w:rPr>
          <w:spacing w:val="0"/>
        </w:rPr>
        <w:t>xposure pursuant to applicable federal and s</w:t>
      </w:r>
      <w:r w:rsidRPr="002D47BE">
        <w:rPr>
          <w:spacing w:val="0"/>
        </w:rPr>
        <w:t>tate laws and regulations governing charitable fundraising and solicitation.</w:t>
      </w:r>
    </w:p>
    <w:p w:rsidR="00637056" w:rsidRPr="002D47BE" w:rsidRDefault="00637056" w:rsidP="00EC1E05">
      <w:pPr>
        <w:jc w:val="both"/>
        <w:rPr>
          <w:spacing w:val="0"/>
        </w:rPr>
      </w:pPr>
    </w:p>
    <w:p w:rsidR="00637056" w:rsidRPr="002D47BE" w:rsidRDefault="005007F0" w:rsidP="00EC1E05">
      <w:pPr>
        <w:jc w:val="both"/>
        <w:rPr>
          <w:spacing w:val="0"/>
        </w:rPr>
      </w:pPr>
      <w:r w:rsidRPr="002D47BE">
        <w:rPr>
          <w:b/>
          <w:spacing w:val="0"/>
        </w:rPr>
        <w:t>Procedure</w:t>
      </w:r>
      <w:r w:rsidR="00330F4F" w:rsidRPr="002D47BE">
        <w:rPr>
          <w:b/>
          <w:spacing w:val="0"/>
        </w:rPr>
        <w:t>.</w:t>
      </w:r>
      <w:r w:rsidR="00F00322" w:rsidRPr="002D47BE">
        <w:rPr>
          <w:rStyle w:val="FootnoteReference"/>
          <w:b/>
          <w:spacing w:val="0"/>
        </w:rPr>
        <w:footnoteReference w:id="2"/>
      </w:r>
    </w:p>
    <w:p w:rsidR="00637056" w:rsidRPr="002D47BE" w:rsidRDefault="00637056" w:rsidP="00EC1E05">
      <w:pPr>
        <w:jc w:val="both"/>
        <w:rPr>
          <w:spacing w:val="0"/>
        </w:rPr>
      </w:pPr>
    </w:p>
    <w:p w:rsidR="00637056" w:rsidRPr="002D47BE" w:rsidRDefault="00277BE6" w:rsidP="00EC1E05">
      <w:pPr>
        <w:tabs>
          <w:tab w:val="left" w:pos="360"/>
        </w:tabs>
        <w:jc w:val="both"/>
        <w:rPr>
          <w:spacing w:val="0"/>
        </w:rPr>
      </w:pPr>
      <w:r w:rsidRPr="002D47BE">
        <w:rPr>
          <w:b/>
          <w:spacing w:val="0"/>
        </w:rPr>
        <w:t>1.</w:t>
      </w:r>
      <w:r w:rsidRPr="002D47BE">
        <w:rPr>
          <w:b/>
          <w:spacing w:val="0"/>
        </w:rPr>
        <w:tab/>
      </w:r>
      <w:r w:rsidR="00637056" w:rsidRPr="002D47BE">
        <w:rPr>
          <w:b/>
          <w:spacing w:val="0"/>
        </w:rPr>
        <w:t>Registration.</w:t>
      </w:r>
      <w:r w:rsidR="00637056" w:rsidRPr="002D47BE">
        <w:rPr>
          <w:spacing w:val="0"/>
        </w:rPr>
        <w:t xml:space="preserve"> The PCA</w:t>
      </w:r>
      <w:r w:rsidR="008727DD" w:rsidRPr="002D47BE">
        <w:rPr>
          <w:spacing w:val="0"/>
        </w:rPr>
        <w:t>-HCCN</w:t>
      </w:r>
      <w:r w:rsidR="00637056" w:rsidRPr="002D47BE">
        <w:rPr>
          <w:spacing w:val="0"/>
        </w:rPr>
        <w:t>, through its Executive Director, will file appropriate registration forms (along with required f</w:t>
      </w:r>
      <w:r w:rsidR="00F00322" w:rsidRPr="002D47BE">
        <w:rPr>
          <w:spacing w:val="0"/>
        </w:rPr>
        <w:t>inancial documentation) in all s</w:t>
      </w:r>
      <w:r w:rsidR="00637056" w:rsidRPr="002D47BE">
        <w:rPr>
          <w:spacing w:val="0"/>
        </w:rPr>
        <w:t>tates in which the PCA</w:t>
      </w:r>
      <w:r w:rsidR="00DD7543" w:rsidRPr="002D47BE">
        <w:rPr>
          <w:spacing w:val="0"/>
        </w:rPr>
        <w:t>-HCCN</w:t>
      </w:r>
      <w:r w:rsidR="00637056" w:rsidRPr="002D47BE">
        <w:rPr>
          <w:spacing w:val="0"/>
        </w:rPr>
        <w:t xml:space="preserve"> intends to conduct fundraising activities. If the PCA</w:t>
      </w:r>
      <w:r w:rsidR="00DD7543" w:rsidRPr="002D47BE">
        <w:rPr>
          <w:spacing w:val="0"/>
        </w:rPr>
        <w:t>-HCCN</w:t>
      </w:r>
      <w:r w:rsidR="00637056" w:rsidRPr="002D47BE">
        <w:rPr>
          <w:spacing w:val="0"/>
        </w:rPr>
        <w:t xml:space="preserve"> intends to conduct fundraisi</w:t>
      </w:r>
      <w:r w:rsidR="00F00322" w:rsidRPr="002D47BE">
        <w:rPr>
          <w:spacing w:val="0"/>
        </w:rPr>
        <w:t>ng activities in more than one s</w:t>
      </w:r>
      <w:r w:rsidR="00637056" w:rsidRPr="002D47BE">
        <w:rPr>
          <w:spacing w:val="0"/>
        </w:rPr>
        <w:t>ta</w:t>
      </w:r>
      <w:r w:rsidR="00F00322" w:rsidRPr="002D47BE">
        <w:rPr>
          <w:spacing w:val="0"/>
        </w:rPr>
        <w:t>te, to the extent permitted by s</w:t>
      </w:r>
      <w:r w:rsidR="00637056" w:rsidRPr="002D47BE">
        <w:rPr>
          <w:spacing w:val="0"/>
        </w:rPr>
        <w:t>tate law, the PCA</w:t>
      </w:r>
      <w:r w:rsidR="00DD7543" w:rsidRPr="002D47BE">
        <w:rPr>
          <w:spacing w:val="0"/>
        </w:rPr>
        <w:t>-HCCN</w:t>
      </w:r>
      <w:r w:rsidR="00637056" w:rsidRPr="002D47BE">
        <w:rPr>
          <w:spacing w:val="0"/>
        </w:rPr>
        <w:t xml:space="preserve"> will file the Uniform Registr</w:t>
      </w:r>
      <w:r w:rsidR="00F00322" w:rsidRPr="002D47BE">
        <w:rPr>
          <w:spacing w:val="0"/>
        </w:rPr>
        <w:t>ation Statement in lieu of the s</w:t>
      </w:r>
      <w:r w:rsidR="00637056" w:rsidRPr="002D47BE">
        <w:rPr>
          <w:spacing w:val="0"/>
        </w:rPr>
        <w:t xml:space="preserve">tate-specific registration form. </w:t>
      </w:r>
    </w:p>
    <w:p w:rsidR="00637056" w:rsidRPr="002D47BE" w:rsidRDefault="00637056" w:rsidP="00EC1E0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170"/>
        </w:tabs>
        <w:jc w:val="both"/>
        <w:rPr>
          <w:spacing w:val="0"/>
        </w:rPr>
      </w:pPr>
    </w:p>
    <w:p w:rsidR="00637056" w:rsidRPr="002D47BE" w:rsidRDefault="00277BE6" w:rsidP="00EC1E0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170"/>
        </w:tabs>
        <w:jc w:val="both"/>
        <w:rPr>
          <w:spacing w:val="0"/>
        </w:rPr>
      </w:pPr>
      <w:r w:rsidRPr="002D47BE">
        <w:rPr>
          <w:b/>
          <w:spacing w:val="0"/>
        </w:rPr>
        <w:t>2.</w:t>
      </w:r>
      <w:r w:rsidRPr="002D47BE">
        <w:rPr>
          <w:b/>
          <w:spacing w:val="0"/>
        </w:rPr>
        <w:tab/>
      </w:r>
      <w:r w:rsidR="00637056" w:rsidRPr="002D47BE">
        <w:rPr>
          <w:b/>
          <w:spacing w:val="0"/>
        </w:rPr>
        <w:t xml:space="preserve">Tax </w:t>
      </w:r>
      <w:r w:rsidR="00DD7543" w:rsidRPr="002D47BE">
        <w:rPr>
          <w:b/>
          <w:spacing w:val="0"/>
        </w:rPr>
        <w:t>d</w:t>
      </w:r>
      <w:r w:rsidR="00637056" w:rsidRPr="002D47BE">
        <w:rPr>
          <w:b/>
          <w:spacing w:val="0"/>
        </w:rPr>
        <w:t>eductions.</w:t>
      </w:r>
      <w:r w:rsidR="00637056" w:rsidRPr="002D47BE">
        <w:rPr>
          <w:spacing w:val="0"/>
        </w:rPr>
        <w:t xml:space="preserve"> The PCA</w:t>
      </w:r>
      <w:r w:rsidR="00DD7543" w:rsidRPr="002D47BE">
        <w:rPr>
          <w:spacing w:val="0"/>
        </w:rPr>
        <w:t>-HCCN</w:t>
      </w:r>
      <w:r w:rsidR="00637056" w:rsidRPr="002D47BE">
        <w:rPr>
          <w:spacing w:val="0"/>
        </w:rPr>
        <w:t xml:space="preserve"> will conduct all fundraising activities in accordance with applicab</w:t>
      </w:r>
      <w:r w:rsidR="005007F0" w:rsidRPr="002D47BE">
        <w:rPr>
          <w:spacing w:val="0"/>
        </w:rPr>
        <w:t>le Internal Revenue Code</w:t>
      </w:r>
      <w:r w:rsidR="00637056" w:rsidRPr="002D47BE">
        <w:rPr>
          <w:spacing w:val="0"/>
        </w:rPr>
        <w:t xml:space="preserve"> rules governing when and the extent to which a contribution is tax deductible. </w:t>
      </w:r>
    </w:p>
    <w:p w:rsidR="00637056" w:rsidRPr="002D47BE" w:rsidRDefault="00637056" w:rsidP="00EC1E05">
      <w:pPr>
        <w:tabs>
          <w:tab w:val="left" w:pos="-1080"/>
          <w:tab w:val="left" w:pos="-720"/>
          <w:tab w:val="left" w:pos="0"/>
          <w:tab w:val="left" w:pos="720"/>
          <w:tab w:val="left" w:pos="1170"/>
        </w:tabs>
        <w:jc w:val="both"/>
        <w:rPr>
          <w:spacing w:val="0"/>
        </w:rPr>
      </w:pPr>
    </w:p>
    <w:p w:rsidR="00637056" w:rsidRPr="002D47BE" w:rsidRDefault="00637056" w:rsidP="001167D1">
      <w:pPr>
        <w:numPr>
          <w:ilvl w:val="0"/>
          <w:numId w:val="1"/>
        </w:numPr>
        <w:tabs>
          <w:tab w:val="clear" w:pos="720"/>
          <w:tab w:val="left" w:pos="-1080"/>
          <w:tab w:val="left" w:pos="-720"/>
          <w:tab w:val="left" w:pos="0"/>
          <w:tab w:val="left" w:pos="1170"/>
        </w:tabs>
        <w:ind w:left="1080"/>
        <w:jc w:val="both"/>
        <w:rPr>
          <w:spacing w:val="0"/>
        </w:rPr>
      </w:pPr>
      <w:r w:rsidRPr="002D47BE">
        <w:rPr>
          <w:spacing w:val="0"/>
          <w:u w:val="single"/>
        </w:rPr>
        <w:t xml:space="preserve">Fundraising </w:t>
      </w:r>
      <w:r w:rsidR="0013461C" w:rsidRPr="002D47BE">
        <w:rPr>
          <w:spacing w:val="0"/>
          <w:u w:val="single"/>
        </w:rPr>
        <w:t>e</w:t>
      </w:r>
      <w:r w:rsidRPr="002D47BE">
        <w:rPr>
          <w:spacing w:val="0"/>
          <w:u w:val="single"/>
        </w:rPr>
        <w:t>vents</w:t>
      </w:r>
      <w:r w:rsidRPr="002D47BE">
        <w:rPr>
          <w:spacing w:val="0"/>
        </w:rPr>
        <w:t>. If a donor receives anything of value in return for a contribution (a “quid pro quo contribution”), the PCA</w:t>
      </w:r>
      <w:r w:rsidR="0013461C" w:rsidRPr="002D47BE">
        <w:rPr>
          <w:spacing w:val="0"/>
        </w:rPr>
        <w:t>-HCCN</w:t>
      </w:r>
      <w:r w:rsidRPr="002D47BE">
        <w:rPr>
          <w:spacing w:val="0"/>
        </w:rPr>
        <w:t xml:space="preserve"> will make a reasonable determination of the fair market value of the benefit received by the donor in advance of the solicitation. The PCA</w:t>
      </w:r>
      <w:r w:rsidR="0013461C" w:rsidRPr="002D47BE">
        <w:rPr>
          <w:spacing w:val="0"/>
        </w:rPr>
        <w:t>-HCCN</w:t>
      </w:r>
      <w:r w:rsidRPr="002D47BE">
        <w:rPr>
          <w:spacing w:val="0"/>
        </w:rPr>
        <w:t xml:space="preserve"> will inform all donors of the specific amount of their contribution that is deductible, if any. If the PCA</w:t>
      </w:r>
      <w:r w:rsidR="0013461C" w:rsidRPr="002D47BE">
        <w:rPr>
          <w:spacing w:val="0"/>
        </w:rPr>
        <w:t>-HCCN</w:t>
      </w:r>
      <w:r w:rsidRPr="002D47BE">
        <w:rPr>
          <w:spacing w:val="0"/>
        </w:rPr>
        <w:t xml:space="preserve"> receives a </w:t>
      </w:r>
      <w:r w:rsidRPr="002D47BE">
        <w:rPr>
          <w:iCs/>
          <w:spacing w:val="0"/>
        </w:rPr>
        <w:t>quid pro quo</w:t>
      </w:r>
      <w:r w:rsidRPr="002D47BE">
        <w:rPr>
          <w:spacing w:val="0"/>
        </w:rPr>
        <w:t xml:space="preserve"> contribution of $75 or more, it will provide the donor with a written statement that: (i) informs the donor that the amount of the contribution that is tax deductible is limited to the amount that the contribu</w:t>
      </w:r>
      <w:bookmarkStart w:id="0" w:name="_GoBack"/>
      <w:bookmarkEnd w:id="0"/>
      <w:r w:rsidRPr="002D47BE">
        <w:rPr>
          <w:spacing w:val="0"/>
        </w:rPr>
        <w:t>tion exceeds the value of the goods or services that the donor receives, and (ii) provides the donor with a good faith estimate of the value of the goods and services received.</w:t>
      </w:r>
    </w:p>
    <w:p w:rsidR="00637056" w:rsidRPr="002D47BE" w:rsidRDefault="00637056" w:rsidP="001167D1">
      <w:pPr>
        <w:tabs>
          <w:tab w:val="left" w:pos="-1080"/>
          <w:tab w:val="left" w:pos="-720"/>
          <w:tab w:val="left" w:pos="0"/>
          <w:tab w:val="left" w:pos="1170"/>
        </w:tabs>
        <w:ind w:left="1080"/>
        <w:jc w:val="both"/>
        <w:rPr>
          <w:spacing w:val="0"/>
        </w:rPr>
      </w:pPr>
    </w:p>
    <w:p w:rsidR="00637056" w:rsidRPr="002D47BE" w:rsidRDefault="00637056" w:rsidP="001167D1">
      <w:pPr>
        <w:numPr>
          <w:ilvl w:val="0"/>
          <w:numId w:val="1"/>
        </w:numPr>
        <w:tabs>
          <w:tab w:val="clear" w:pos="720"/>
          <w:tab w:val="left" w:pos="-1080"/>
          <w:tab w:val="left" w:pos="-720"/>
          <w:tab w:val="left" w:pos="0"/>
          <w:tab w:val="left" w:pos="1170"/>
        </w:tabs>
        <w:ind w:left="1080"/>
        <w:jc w:val="both"/>
        <w:rPr>
          <w:spacing w:val="0"/>
        </w:rPr>
      </w:pPr>
      <w:r w:rsidRPr="002D47BE">
        <w:rPr>
          <w:spacing w:val="0"/>
          <w:u w:val="single"/>
        </w:rPr>
        <w:t>Auctions</w:t>
      </w:r>
      <w:r w:rsidRPr="002D47BE">
        <w:rPr>
          <w:spacing w:val="0"/>
        </w:rPr>
        <w:t>. If the PCA</w:t>
      </w:r>
      <w:r w:rsidR="00251554" w:rsidRPr="002D47BE">
        <w:rPr>
          <w:spacing w:val="0"/>
        </w:rPr>
        <w:t>-HCCN</w:t>
      </w:r>
      <w:r w:rsidRPr="002D47BE">
        <w:rPr>
          <w:spacing w:val="0"/>
        </w:rPr>
        <w:t xml:space="preserve"> holds an auction, it will distribute a brochure or catalog describing each item up for auction, including its fair market value.</w:t>
      </w:r>
    </w:p>
    <w:p w:rsidR="00637056" w:rsidRPr="002D47BE" w:rsidRDefault="00637056" w:rsidP="001167D1">
      <w:pPr>
        <w:tabs>
          <w:tab w:val="left" w:pos="-1080"/>
          <w:tab w:val="left" w:pos="-720"/>
          <w:tab w:val="left" w:pos="0"/>
          <w:tab w:val="left" w:pos="1170"/>
        </w:tabs>
        <w:ind w:left="1080"/>
        <w:jc w:val="both"/>
        <w:rPr>
          <w:spacing w:val="0"/>
          <w:u w:val="single"/>
        </w:rPr>
      </w:pPr>
    </w:p>
    <w:p w:rsidR="00637056" w:rsidRPr="002D47BE" w:rsidRDefault="00637056" w:rsidP="001167D1">
      <w:pPr>
        <w:numPr>
          <w:ilvl w:val="0"/>
          <w:numId w:val="1"/>
        </w:numPr>
        <w:tabs>
          <w:tab w:val="clear" w:pos="720"/>
          <w:tab w:val="left" w:pos="-1080"/>
          <w:tab w:val="left" w:pos="-720"/>
          <w:tab w:val="left" w:pos="0"/>
          <w:tab w:val="left" w:pos="1170"/>
        </w:tabs>
        <w:ind w:left="1080"/>
        <w:jc w:val="both"/>
        <w:rPr>
          <w:spacing w:val="0"/>
          <w:u w:val="single"/>
        </w:rPr>
      </w:pPr>
      <w:r w:rsidRPr="002D47BE">
        <w:rPr>
          <w:spacing w:val="0"/>
          <w:u w:val="single"/>
        </w:rPr>
        <w:lastRenderedPageBreak/>
        <w:t xml:space="preserve">Raffles and </w:t>
      </w:r>
      <w:r w:rsidR="00251554" w:rsidRPr="002D47BE">
        <w:rPr>
          <w:spacing w:val="0"/>
          <w:u w:val="single"/>
        </w:rPr>
        <w:t>l</w:t>
      </w:r>
      <w:r w:rsidRPr="002D47BE">
        <w:rPr>
          <w:spacing w:val="0"/>
          <w:u w:val="single"/>
        </w:rPr>
        <w:t>otteries</w:t>
      </w:r>
      <w:r w:rsidRPr="002D47BE">
        <w:rPr>
          <w:spacing w:val="0"/>
        </w:rPr>
        <w:t>. The PCA</w:t>
      </w:r>
      <w:r w:rsidR="00251554" w:rsidRPr="002D47BE">
        <w:rPr>
          <w:spacing w:val="0"/>
        </w:rPr>
        <w:t>-HCCN</w:t>
      </w:r>
      <w:r w:rsidRPr="002D47BE">
        <w:rPr>
          <w:spacing w:val="0"/>
        </w:rPr>
        <w:t xml:space="preserve"> will report winnings of $600 or more from raffles and lotteries to the IRS and, if the proceeds exceed $1000, will withhold income tax equal to 20% of the proceeds.</w:t>
      </w:r>
    </w:p>
    <w:p w:rsidR="00637056" w:rsidRPr="002D47BE" w:rsidRDefault="00637056" w:rsidP="00EC1E05">
      <w:pPr>
        <w:pStyle w:val="BodyText"/>
        <w:jc w:val="both"/>
        <w:rPr>
          <w:bCs w:val="0"/>
          <w:iCs/>
          <w:spacing w:val="0"/>
          <w:sz w:val="24"/>
        </w:rPr>
      </w:pPr>
    </w:p>
    <w:p w:rsidR="00637056" w:rsidRPr="002D47BE" w:rsidRDefault="00637056" w:rsidP="00EC1E05">
      <w:pPr>
        <w:pStyle w:val="BodyText"/>
        <w:jc w:val="both"/>
        <w:rPr>
          <w:bCs w:val="0"/>
          <w:iCs/>
          <w:spacing w:val="0"/>
          <w:sz w:val="24"/>
        </w:rPr>
      </w:pPr>
      <w:r w:rsidRPr="002D47BE">
        <w:rPr>
          <w:bCs w:val="0"/>
          <w:iCs/>
          <w:spacing w:val="0"/>
          <w:sz w:val="24"/>
        </w:rPr>
        <w:t xml:space="preserve">The requirement to establish </w:t>
      </w:r>
      <w:r w:rsidRPr="002D47BE">
        <w:rPr>
          <w:spacing w:val="0"/>
          <w:sz w:val="24"/>
        </w:rPr>
        <w:t>the fair market value of any benefit received by a donor does not apply to token items of inconsequential value, based upon the then current guidelines published by the IRS.</w:t>
      </w:r>
    </w:p>
    <w:p w:rsidR="00637056" w:rsidRPr="002D47BE" w:rsidRDefault="00637056" w:rsidP="00EC1E05">
      <w:pPr>
        <w:pStyle w:val="BodyText"/>
        <w:jc w:val="both"/>
        <w:rPr>
          <w:b/>
          <w:bCs w:val="0"/>
          <w:iCs/>
          <w:spacing w:val="0"/>
          <w:sz w:val="24"/>
        </w:rPr>
      </w:pPr>
    </w:p>
    <w:p w:rsidR="00637056" w:rsidRPr="002D47BE" w:rsidRDefault="00637056" w:rsidP="00EC1E05">
      <w:pPr>
        <w:pStyle w:val="BodyText"/>
        <w:jc w:val="both"/>
        <w:rPr>
          <w:b/>
          <w:bCs w:val="0"/>
          <w:iCs/>
          <w:spacing w:val="0"/>
          <w:sz w:val="24"/>
        </w:rPr>
      </w:pPr>
      <w:r w:rsidRPr="002D47BE">
        <w:rPr>
          <w:spacing w:val="0"/>
          <w:sz w:val="24"/>
        </w:rPr>
        <w:t>If a donor contributes a gift of $250 or more, the</w:t>
      </w:r>
      <w:r w:rsidR="00CB78AA" w:rsidRPr="002D47BE">
        <w:rPr>
          <w:spacing w:val="0"/>
          <w:sz w:val="24"/>
        </w:rPr>
        <w:t xml:space="preserve"> </w:t>
      </w:r>
      <w:r w:rsidRPr="002D47BE">
        <w:rPr>
          <w:spacing w:val="0"/>
          <w:sz w:val="24"/>
        </w:rPr>
        <w:t>PCA</w:t>
      </w:r>
      <w:r w:rsidR="00CB78AA" w:rsidRPr="002D47BE">
        <w:rPr>
          <w:spacing w:val="0"/>
          <w:sz w:val="24"/>
        </w:rPr>
        <w:t>-HCCN</w:t>
      </w:r>
      <w:r w:rsidRPr="002D47BE">
        <w:rPr>
          <w:spacing w:val="0"/>
          <w:sz w:val="24"/>
        </w:rPr>
        <w:t xml:space="preserve"> will provide the donor with a written acknowledgment of the contribution before the donor files his or her tax return on which he or she will claim a deduction for such contribution.</w:t>
      </w:r>
    </w:p>
    <w:p w:rsidR="00637056" w:rsidRPr="002D47BE" w:rsidRDefault="00637056" w:rsidP="00EC1E05">
      <w:pPr>
        <w:tabs>
          <w:tab w:val="left" w:pos="-1080"/>
          <w:tab w:val="left" w:pos="-720"/>
          <w:tab w:val="left" w:pos="0"/>
          <w:tab w:val="left" w:pos="720"/>
          <w:tab w:val="left" w:pos="1170"/>
        </w:tabs>
        <w:ind w:right="1170"/>
        <w:jc w:val="both"/>
        <w:rPr>
          <w:b/>
          <w:bCs w:val="0"/>
          <w:iCs/>
          <w:spacing w:val="0"/>
        </w:rPr>
      </w:pPr>
    </w:p>
    <w:p w:rsidR="00637056" w:rsidRPr="002D47BE" w:rsidRDefault="001167D1" w:rsidP="001167D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170"/>
        </w:tabs>
        <w:jc w:val="both"/>
        <w:rPr>
          <w:iCs/>
          <w:spacing w:val="0"/>
        </w:rPr>
      </w:pPr>
      <w:r w:rsidRPr="002D47BE">
        <w:rPr>
          <w:b/>
          <w:spacing w:val="0"/>
        </w:rPr>
        <w:t>3.</w:t>
      </w:r>
      <w:r w:rsidRPr="002D47BE">
        <w:rPr>
          <w:b/>
          <w:spacing w:val="0"/>
        </w:rPr>
        <w:tab/>
      </w:r>
      <w:r w:rsidR="00637056" w:rsidRPr="002D47BE">
        <w:rPr>
          <w:b/>
          <w:spacing w:val="0"/>
        </w:rPr>
        <w:t xml:space="preserve">Corporate </w:t>
      </w:r>
      <w:r w:rsidR="00CB78AA" w:rsidRPr="002D47BE">
        <w:rPr>
          <w:b/>
          <w:spacing w:val="0"/>
        </w:rPr>
        <w:t>s</w:t>
      </w:r>
      <w:r w:rsidR="00637056" w:rsidRPr="002D47BE">
        <w:rPr>
          <w:b/>
          <w:spacing w:val="0"/>
        </w:rPr>
        <w:t>ponsorship.</w:t>
      </w:r>
      <w:r w:rsidR="00637056" w:rsidRPr="002D47BE">
        <w:rPr>
          <w:spacing w:val="0"/>
        </w:rPr>
        <w:t xml:space="preserve"> The PCA</w:t>
      </w:r>
      <w:r w:rsidR="00CB78AA" w:rsidRPr="002D47BE">
        <w:rPr>
          <w:spacing w:val="0"/>
        </w:rPr>
        <w:t>-HCCN</w:t>
      </w:r>
      <w:r w:rsidR="00637056" w:rsidRPr="002D47BE">
        <w:rPr>
          <w:spacing w:val="0"/>
        </w:rPr>
        <w:t>’s Board of Directors will establish guidelines for soliciting financial support from businesses, including any businesses that are “off limits.” The PCA</w:t>
      </w:r>
      <w:r w:rsidR="00CB78AA" w:rsidRPr="002D47BE">
        <w:rPr>
          <w:spacing w:val="0"/>
        </w:rPr>
        <w:t>-HCCN</w:t>
      </w:r>
      <w:r w:rsidR="00637056" w:rsidRPr="002D47BE">
        <w:rPr>
          <w:spacing w:val="0"/>
        </w:rPr>
        <w:t xml:space="preserve"> will conduct reasonable “due diligence” into the background and business practices of a potential corporate sponsor. If the PCA</w:t>
      </w:r>
      <w:r w:rsidR="00CB78AA" w:rsidRPr="002D47BE">
        <w:rPr>
          <w:spacing w:val="0"/>
        </w:rPr>
        <w:t>-HCCN</w:t>
      </w:r>
      <w:r w:rsidR="00637056" w:rsidRPr="002D47BE">
        <w:rPr>
          <w:spacing w:val="0"/>
        </w:rPr>
        <w:t xml:space="preserve"> determines that the potential sponsor is appropriate for the PCA</w:t>
      </w:r>
      <w:r w:rsidR="00CB78AA" w:rsidRPr="002D47BE">
        <w:rPr>
          <w:spacing w:val="0"/>
        </w:rPr>
        <w:t>-HCCN</w:t>
      </w:r>
      <w:r w:rsidR="00637056" w:rsidRPr="002D47BE">
        <w:rPr>
          <w:spacing w:val="0"/>
        </w:rPr>
        <w:t>, the PCA</w:t>
      </w:r>
      <w:r w:rsidR="00CB78AA" w:rsidRPr="002D47BE">
        <w:rPr>
          <w:spacing w:val="0"/>
        </w:rPr>
        <w:t>-HCCN</w:t>
      </w:r>
      <w:r w:rsidR="00637056" w:rsidRPr="002D47BE">
        <w:rPr>
          <w:spacing w:val="0"/>
        </w:rPr>
        <w:t xml:space="preserve"> may: (i) acknowledge the sponsor’s support by displaying its name, logo and slogan; (ii) include value-neutral descriptions of the sponsor</w:t>
      </w:r>
      <w:r w:rsidR="004E2487" w:rsidRPr="002D47BE">
        <w:rPr>
          <w:spacing w:val="0"/>
        </w:rPr>
        <w:t>’</w:t>
      </w:r>
      <w:r w:rsidR="00637056" w:rsidRPr="002D47BE">
        <w:rPr>
          <w:spacing w:val="0"/>
        </w:rPr>
        <w:t>s product line and a list of locations, telephone numbers, website address, and brand or trade names; (iii) allow the sponsor to display or distribute samples of its products in conjunction with a sponsored event; and/or (iv) identify the sponsor as the “exclusive” sponsor of an event, so long as the sale, distribution or use of competing products is not limited in connection with the sponsorship.</w:t>
      </w:r>
    </w:p>
    <w:p w:rsidR="00637056" w:rsidRPr="002D47BE" w:rsidRDefault="00637056" w:rsidP="001167D1">
      <w:pPr>
        <w:pStyle w:val="BodyText"/>
        <w:tabs>
          <w:tab w:val="left" w:pos="360"/>
        </w:tabs>
        <w:jc w:val="both"/>
        <w:rPr>
          <w:bCs w:val="0"/>
          <w:iCs/>
          <w:spacing w:val="0"/>
          <w:sz w:val="24"/>
        </w:rPr>
      </w:pPr>
    </w:p>
    <w:p w:rsidR="00637056" w:rsidRPr="002D47BE" w:rsidRDefault="001167D1" w:rsidP="001167D1">
      <w:pPr>
        <w:pStyle w:val="BodyText"/>
        <w:tabs>
          <w:tab w:val="left" w:pos="360"/>
        </w:tabs>
        <w:jc w:val="both"/>
        <w:rPr>
          <w:spacing w:val="0"/>
          <w:sz w:val="24"/>
        </w:rPr>
      </w:pPr>
      <w:r w:rsidRPr="002D47BE">
        <w:rPr>
          <w:b/>
          <w:bCs w:val="0"/>
          <w:iCs/>
          <w:spacing w:val="0"/>
          <w:sz w:val="24"/>
        </w:rPr>
        <w:t>4.</w:t>
      </w:r>
      <w:r w:rsidRPr="002D47BE">
        <w:rPr>
          <w:b/>
          <w:bCs w:val="0"/>
          <w:iCs/>
          <w:spacing w:val="0"/>
          <w:sz w:val="24"/>
        </w:rPr>
        <w:tab/>
      </w:r>
      <w:r w:rsidR="00637056" w:rsidRPr="002D47BE">
        <w:rPr>
          <w:b/>
          <w:bCs w:val="0"/>
          <w:iCs/>
          <w:spacing w:val="0"/>
          <w:sz w:val="24"/>
        </w:rPr>
        <w:t xml:space="preserve">Financial </w:t>
      </w:r>
      <w:r w:rsidR="004401F4" w:rsidRPr="002D47BE">
        <w:rPr>
          <w:b/>
          <w:bCs w:val="0"/>
          <w:iCs/>
          <w:spacing w:val="0"/>
          <w:sz w:val="24"/>
        </w:rPr>
        <w:t>s</w:t>
      </w:r>
      <w:r w:rsidR="00637056" w:rsidRPr="002D47BE">
        <w:rPr>
          <w:b/>
          <w:bCs w:val="0"/>
          <w:iCs/>
          <w:spacing w:val="0"/>
          <w:sz w:val="24"/>
        </w:rPr>
        <w:t xml:space="preserve">upport from </w:t>
      </w:r>
      <w:r w:rsidR="004401F4" w:rsidRPr="002D47BE">
        <w:rPr>
          <w:b/>
          <w:bCs w:val="0"/>
          <w:iCs/>
          <w:spacing w:val="0"/>
          <w:sz w:val="24"/>
        </w:rPr>
        <w:t>v</w:t>
      </w:r>
      <w:r w:rsidR="00637056" w:rsidRPr="002D47BE">
        <w:rPr>
          <w:b/>
          <w:bCs w:val="0"/>
          <w:iCs/>
          <w:spacing w:val="0"/>
          <w:sz w:val="24"/>
        </w:rPr>
        <w:t>endors/</w:t>
      </w:r>
      <w:r w:rsidR="004401F4" w:rsidRPr="002D47BE">
        <w:rPr>
          <w:b/>
          <w:bCs w:val="0"/>
          <w:iCs/>
          <w:spacing w:val="0"/>
          <w:sz w:val="24"/>
        </w:rPr>
        <w:t>s</w:t>
      </w:r>
      <w:r w:rsidR="00637056" w:rsidRPr="002D47BE">
        <w:rPr>
          <w:b/>
          <w:bCs w:val="0"/>
          <w:iCs/>
          <w:spacing w:val="0"/>
          <w:sz w:val="24"/>
        </w:rPr>
        <w:t>uppliers.</w:t>
      </w:r>
      <w:r w:rsidR="00637056" w:rsidRPr="002D47BE">
        <w:rPr>
          <w:bCs w:val="0"/>
          <w:iCs/>
          <w:spacing w:val="0"/>
          <w:sz w:val="24"/>
        </w:rPr>
        <w:t xml:space="preserve"> </w:t>
      </w:r>
      <w:r w:rsidR="00637056" w:rsidRPr="002D47BE">
        <w:rPr>
          <w:spacing w:val="0"/>
          <w:sz w:val="24"/>
        </w:rPr>
        <w:t>The PCA</w:t>
      </w:r>
      <w:r w:rsidR="004401F4" w:rsidRPr="002D47BE">
        <w:rPr>
          <w:spacing w:val="0"/>
          <w:sz w:val="24"/>
        </w:rPr>
        <w:t>-HCCN</w:t>
      </w:r>
      <w:r w:rsidR="00637056" w:rsidRPr="002D47BE">
        <w:rPr>
          <w:spacing w:val="0"/>
          <w:sz w:val="24"/>
        </w:rPr>
        <w:t xml:space="preserve"> may solicit and accept financial support from vendors/suppliers, so long as such activity is conducted in accordance with the requirements of the </w:t>
      </w:r>
      <w:r w:rsidR="00F00322" w:rsidRPr="002D47BE">
        <w:rPr>
          <w:spacing w:val="0"/>
          <w:sz w:val="24"/>
        </w:rPr>
        <w:t>federal Anti</w:t>
      </w:r>
      <w:r w:rsidR="00F00322" w:rsidRPr="002D47BE">
        <w:rPr>
          <w:spacing w:val="0"/>
          <w:sz w:val="24"/>
        </w:rPr>
        <w:noBreakHyphen/>
        <w:t>K</w:t>
      </w:r>
      <w:r w:rsidR="00637056" w:rsidRPr="002D47BE">
        <w:rPr>
          <w:spacing w:val="0"/>
          <w:sz w:val="24"/>
        </w:rPr>
        <w:t xml:space="preserve">ickback </w:t>
      </w:r>
      <w:r w:rsidR="00F00322" w:rsidRPr="002D47BE">
        <w:rPr>
          <w:spacing w:val="0"/>
          <w:sz w:val="24"/>
        </w:rPr>
        <w:t>S</w:t>
      </w:r>
      <w:r w:rsidR="00637056" w:rsidRPr="002D47BE">
        <w:rPr>
          <w:spacing w:val="0"/>
          <w:sz w:val="24"/>
        </w:rPr>
        <w:t xml:space="preserve">tatute. When soliciting vendors/suppliers, the R/SPCA will (i) ensure that the group of potential sponsors solicited represents a broad-based pool of civic leaders and business sources and (ii) certify that it will not take any support provided by vendors/suppliers into account in awarding or renewing contracts or in purchasing items or services. </w:t>
      </w:r>
    </w:p>
    <w:p w:rsidR="00637056" w:rsidRPr="002D47BE" w:rsidRDefault="00637056" w:rsidP="001167D1">
      <w:pPr>
        <w:pStyle w:val="BodyText"/>
        <w:tabs>
          <w:tab w:val="left" w:pos="360"/>
        </w:tabs>
        <w:jc w:val="both"/>
        <w:rPr>
          <w:b/>
          <w:bCs w:val="0"/>
          <w:iCs/>
          <w:spacing w:val="0"/>
          <w:sz w:val="24"/>
        </w:rPr>
      </w:pPr>
    </w:p>
    <w:p w:rsidR="00637056" w:rsidRPr="002D47BE" w:rsidRDefault="001167D1" w:rsidP="001167D1">
      <w:pPr>
        <w:pStyle w:val="BodyText"/>
        <w:tabs>
          <w:tab w:val="left" w:pos="360"/>
        </w:tabs>
        <w:jc w:val="both"/>
        <w:rPr>
          <w:bCs w:val="0"/>
          <w:iCs/>
          <w:spacing w:val="0"/>
          <w:sz w:val="24"/>
        </w:rPr>
      </w:pPr>
      <w:r w:rsidRPr="002D47BE">
        <w:rPr>
          <w:b/>
          <w:bCs w:val="0"/>
          <w:iCs/>
          <w:spacing w:val="0"/>
          <w:sz w:val="24"/>
        </w:rPr>
        <w:t>5.</w:t>
      </w:r>
      <w:r w:rsidRPr="002D47BE">
        <w:rPr>
          <w:b/>
          <w:bCs w:val="0"/>
          <w:iCs/>
          <w:spacing w:val="0"/>
          <w:sz w:val="24"/>
        </w:rPr>
        <w:tab/>
      </w:r>
      <w:r w:rsidR="00637056" w:rsidRPr="002D47BE">
        <w:rPr>
          <w:b/>
          <w:bCs w:val="0"/>
          <w:iCs/>
          <w:spacing w:val="0"/>
          <w:sz w:val="24"/>
        </w:rPr>
        <w:t xml:space="preserve">Internet </w:t>
      </w:r>
      <w:r w:rsidR="002F0898" w:rsidRPr="002D47BE">
        <w:rPr>
          <w:b/>
          <w:bCs w:val="0"/>
          <w:iCs/>
          <w:spacing w:val="0"/>
          <w:sz w:val="24"/>
        </w:rPr>
        <w:t>f</w:t>
      </w:r>
      <w:r w:rsidR="00637056" w:rsidRPr="002D47BE">
        <w:rPr>
          <w:b/>
          <w:bCs w:val="0"/>
          <w:iCs/>
          <w:spacing w:val="0"/>
          <w:sz w:val="24"/>
        </w:rPr>
        <w:t>undraising.</w:t>
      </w:r>
      <w:r w:rsidR="00637056" w:rsidRPr="002D47BE">
        <w:rPr>
          <w:bCs w:val="0"/>
          <w:iCs/>
          <w:spacing w:val="0"/>
          <w:sz w:val="24"/>
        </w:rPr>
        <w:t xml:space="preserve"> If the PCA</w:t>
      </w:r>
      <w:r w:rsidR="002F0898" w:rsidRPr="002D47BE">
        <w:rPr>
          <w:bCs w:val="0"/>
          <w:iCs/>
          <w:spacing w:val="0"/>
          <w:sz w:val="24"/>
        </w:rPr>
        <w:t>-HCCN</w:t>
      </w:r>
      <w:r w:rsidR="00637056" w:rsidRPr="002D47BE">
        <w:rPr>
          <w:bCs w:val="0"/>
          <w:iCs/>
          <w:spacing w:val="0"/>
          <w:sz w:val="24"/>
        </w:rPr>
        <w:t xml:space="preserve"> uses internet-based fundraising techniques, it will ensure that t</w:t>
      </w:r>
      <w:r w:rsidR="00F00322" w:rsidRPr="002D47BE">
        <w:rPr>
          <w:bCs w:val="0"/>
          <w:iCs/>
          <w:spacing w:val="0"/>
          <w:sz w:val="24"/>
        </w:rPr>
        <w:t>he</w:t>
      </w:r>
      <w:r w:rsidR="002F0898" w:rsidRPr="002D47BE">
        <w:rPr>
          <w:bCs w:val="0"/>
          <w:iCs/>
          <w:spacing w:val="0"/>
          <w:sz w:val="24"/>
        </w:rPr>
        <w:t xml:space="preserve"> </w:t>
      </w:r>
      <w:r w:rsidR="00F00322" w:rsidRPr="002D47BE">
        <w:rPr>
          <w:bCs w:val="0"/>
          <w:iCs/>
          <w:spacing w:val="0"/>
          <w:sz w:val="24"/>
        </w:rPr>
        <w:t>PCA</w:t>
      </w:r>
      <w:r w:rsidR="002F0898" w:rsidRPr="002D47BE">
        <w:rPr>
          <w:bCs w:val="0"/>
          <w:iCs/>
          <w:spacing w:val="0"/>
          <w:sz w:val="24"/>
        </w:rPr>
        <w:t>-HCCN</w:t>
      </w:r>
      <w:r w:rsidR="00F00322" w:rsidRPr="002D47BE">
        <w:rPr>
          <w:bCs w:val="0"/>
          <w:iCs/>
          <w:spacing w:val="0"/>
          <w:sz w:val="24"/>
        </w:rPr>
        <w:t xml:space="preserve"> is registered in all s</w:t>
      </w:r>
      <w:r w:rsidR="00637056" w:rsidRPr="002D47BE">
        <w:rPr>
          <w:bCs w:val="0"/>
          <w:iCs/>
          <w:spacing w:val="0"/>
          <w:sz w:val="24"/>
        </w:rPr>
        <w:t>tates in which the internet site is accessed. The PCA</w:t>
      </w:r>
      <w:r w:rsidR="007B7D0A" w:rsidRPr="002D47BE">
        <w:rPr>
          <w:bCs w:val="0"/>
          <w:iCs/>
          <w:spacing w:val="0"/>
          <w:sz w:val="24"/>
        </w:rPr>
        <w:t>-HCCN</w:t>
      </w:r>
      <w:r w:rsidR="00637056" w:rsidRPr="002D47BE">
        <w:rPr>
          <w:bCs w:val="0"/>
          <w:iCs/>
          <w:spacing w:val="0"/>
          <w:sz w:val="24"/>
        </w:rPr>
        <w:t xml:space="preserve"> will establish appropriate security measures to protect, among other things, donor lists and online credit card transactions.</w:t>
      </w:r>
    </w:p>
    <w:p w:rsidR="00637056" w:rsidRPr="002D47BE" w:rsidRDefault="00637056" w:rsidP="001167D1">
      <w:pPr>
        <w:pStyle w:val="BodyText"/>
        <w:tabs>
          <w:tab w:val="left" w:pos="360"/>
        </w:tabs>
        <w:jc w:val="both"/>
        <w:rPr>
          <w:b/>
          <w:bCs w:val="0"/>
          <w:iCs/>
          <w:spacing w:val="0"/>
          <w:sz w:val="24"/>
        </w:rPr>
      </w:pPr>
    </w:p>
    <w:p w:rsidR="0000738F" w:rsidRPr="002D47BE" w:rsidRDefault="001167D1" w:rsidP="001167D1">
      <w:pPr>
        <w:tabs>
          <w:tab w:val="left" w:pos="-1080"/>
          <w:tab w:val="left" w:pos="-720"/>
          <w:tab w:val="left" w:pos="0"/>
          <w:tab w:val="left" w:pos="360"/>
          <w:tab w:val="left" w:pos="1170"/>
        </w:tabs>
        <w:jc w:val="both"/>
        <w:rPr>
          <w:spacing w:val="0"/>
        </w:rPr>
      </w:pPr>
      <w:r w:rsidRPr="002D47BE">
        <w:rPr>
          <w:b/>
          <w:spacing w:val="0"/>
        </w:rPr>
        <w:t>6.</w:t>
      </w:r>
      <w:r w:rsidRPr="002D47BE">
        <w:rPr>
          <w:b/>
          <w:spacing w:val="0"/>
        </w:rPr>
        <w:tab/>
      </w:r>
      <w:r w:rsidR="00637056" w:rsidRPr="002D47BE">
        <w:rPr>
          <w:b/>
          <w:spacing w:val="0"/>
        </w:rPr>
        <w:t>Consultants.</w:t>
      </w:r>
      <w:r w:rsidR="00637056" w:rsidRPr="002D47BE">
        <w:rPr>
          <w:spacing w:val="0"/>
        </w:rPr>
        <w:t xml:space="preserve"> If the PCA</w:t>
      </w:r>
      <w:r w:rsidR="007B7D0A" w:rsidRPr="002D47BE">
        <w:rPr>
          <w:spacing w:val="0"/>
        </w:rPr>
        <w:t>-HCCN</w:t>
      </w:r>
      <w:r w:rsidR="00637056" w:rsidRPr="002D47BE">
        <w:rPr>
          <w:spacing w:val="0"/>
        </w:rPr>
        <w:t xml:space="preserve"> decides to hire a fundraising consultant or professional solicitor to assist in its fundraising activities, the PCA</w:t>
      </w:r>
      <w:r w:rsidR="007B7D0A" w:rsidRPr="002D47BE">
        <w:rPr>
          <w:spacing w:val="0"/>
        </w:rPr>
        <w:t>-HCCN</w:t>
      </w:r>
      <w:r w:rsidR="00637056" w:rsidRPr="002D47BE">
        <w:rPr>
          <w:spacing w:val="0"/>
        </w:rPr>
        <w:t xml:space="preserve"> will verify such individual’s qualifications, experience, and whether s</w:t>
      </w:r>
      <w:r w:rsidR="007B7D0A" w:rsidRPr="002D47BE">
        <w:rPr>
          <w:spacing w:val="0"/>
        </w:rPr>
        <w:t>/</w:t>
      </w:r>
      <w:r w:rsidR="00637056" w:rsidRPr="002D47BE">
        <w:rPr>
          <w:spacing w:val="0"/>
        </w:rPr>
        <w:t>he is properly registered, licensed, and bonded</w:t>
      </w:r>
      <w:r w:rsidR="00F00322" w:rsidRPr="002D47BE">
        <w:rPr>
          <w:spacing w:val="0"/>
        </w:rPr>
        <w:t xml:space="preserve"> as required by s</w:t>
      </w:r>
      <w:r w:rsidR="00637056" w:rsidRPr="002D47BE">
        <w:rPr>
          <w:spacing w:val="0"/>
        </w:rPr>
        <w:t>tate law, prior to hire. The PCA</w:t>
      </w:r>
      <w:r w:rsidR="007B7D0A" w:rsidRPr="002D47BE">
        <w:rPr>
          <w:spacing w:val="0"/>
        </w:rPr>
        <w:t>-HCCN</w:t>
      </w:r>
      <w:r w:rsidR="00637056" w:rsidRPr="002D47BE">
        <w:rPr>
          <w:spacing w:val="0"/>
        </w:rPr>
        <w:t xml:space="preserve"> will execute a written agreement with the consultant/solicitor, which will include the scope of services to be provided; the PCA</w:t>
      </w:r>
      <w:r w:rsidR="007B7D0A" w:rsidRPr="002D47BE">
        <w:rPr>
          <w:spacing w:val="0"/>
        </w:rPr>
        <w:t>-HCCN</w:t>
      </w:r>
      <w:r w:rsidR="00637056" w:rsidRPr="002D47BE">
        <w:rPr>
          <w:spacing w:val="0"/>
        </w:rPr>
        <w:t>’s payment obligations; a statement that the PCA</w:t>
      </w:r>
      <w:r w:rsidR="007B7D0A" w:rsidRPr="002D47BE">
        <w:rPr>
          <w:spacing w:val="0"/>
        </w:rPr>
        <w:t>-HCCN</w:t>
      </w:r>
      <w:r w:rsidR="00637056" w:rsidRPr="002D47BE">
        <w:rPr>
          <w:spacing w:val="0"/>
        </w:rPr>
        <w:t xml:space="preserve"> owns any products or materials created in the course of the engagement; if the consultant/solicitor owns the copyright to the products or materials created </w:t>
      </w:r>
      <w:r w:rsidR="00637056" w:rsidRPr="002D47BE">
        <w:rPr>
          <w:spacing w:val="0"/>
        </w:rPr>
        <w:lastRenderedPageBreak/>
        <w:t xml:space="preserve">during the engagement, a statement that </w:t>
      </w:r>
      <w:r w:rsidR="00BD6446" w:rsidRPr="002D47BE">
        <w:rPr>
          <w:spacing w:val="0"/>
        </w:rPr>
        <w:t>s/</w:t>
      </w:r>
      <w:r w:rsidR="00637056" w:rsidRPr="002D47BE">
        <w:rPr>
          <w:spacing w:val="0"/>
        </w:rPr>
        <w:t>he will assign all rights, title and interest in and to such materials, including the right to secure a copyright, to the PCA</w:t>
      </w:r>
      <w:r w:rsidR="00BD6446" w:rsidRPr="002D47BE">
        <w:rPr>
          <w:spacing w:val="0"/>
        </w:rPr>
        <w:t>-HCCN</w:t>
      </w:r>
      <w:r w:rsidR="00637056" w:rsidRPr="002D47BE">
        <w:rPr>
          <w:spacing w:val="0"/>
        </w:rPr>
        <w:t>; a requirement that the consultant/solicitor obtain the PCA</w:t>
      </w:r>
      <w:r w:rsidR="00BD6446" w:rsidRPr="002D47BE">
        <w:rPr>
          <w:spacing w:val="0"/>
        </w:rPr>
        <w:t>-HCCN</w:t>
      </w:r>
      <w:r w:rsidR="00637056" w:rsidRPr="002D47BE">
        <w:rPr>
          <w:spacing w:val="0"/>
        </w:rPr>
        <w:t>’s prior written approval of material published for the fundraising campaign; a requirement that the consultant indemnify the PCA</w:t>
      </w:r>
      <w:r w:rsidR="00BD6446" w:rsidRPr="002D47BE">
        <w:rPr>
          <w:spacing w:val="0"/>
        </w:rPr>
        <w:t>-HCCN</w:t>
      </w:r>
      <w:r w:rsidR="00637056" w:rsidRPr="002D47BE">
        <w:rPr>
          <w:spacing w:val="0"/>
        </w:rPr>
        <w:t xml:space="preserve"> for any loss that it may incur on account of his or her activity on behalf of the PCA</w:t>
      </w:r>
      <w:r w:rsidR="00BD6446" w:rsidRPr="002D47BE">
        <w:rPr>
          <w:spacing w:val="0"/>
        </w:rPr>
        <w:t>-HCCN</w:t>
      </w:r>
      <w:r w:rsidR="00637056" w:rsidRPr="002D47BE">
        <w:rPr>
          <w:spacing w:val="0"/>
        </w:rPr>
        <w:t>; and a warranty from the consultant/ solicitor that s</w:t>
      </w:r>
      <w:r w:rsidR="00BD6446" w:rsidRPr="002D47BE">
        <w:rPr>
          <w:spacing w:val="0"/>
        </w:rPr>
        <w:t>/</w:t>
      </w:r>
      <w:r w:rsidR="00637056" w:rsidRPr="002D47BE">
        <w:rPr>
          <w:spacing w:val="0"/>
        </w:rPr>
        <w:t>he is properly registered</w:t>
      </w:r>
      <w:r w:rsidR="00F00322" w:rsidRPr="002D47BE">
        <w:rPr>
          <w:spacing w:val="0"/>
        </w:rPr>
        <w:t xml:space="preserve"> in the state </w:t>
      </w:r>
      <w:r w:rsidR="00637056" w:rsidRPr="002D47BE">
        <w:rPr>
          <w:spacing w:val="0"/>
        </w:rPr>
        <w:t>and licensed and bonded</w:t>
      </w:r>
      <w:r w:rsidR="00F00322" w:rsidRPr="002D47BE">
        <w:rPr>
          <w:spacing w:val="0"/>
        </w:rPr>
        <w:t>,</w:t>
      </w:r>
      <w:r w:rsidR="00637056" w:rsidRPr="002D47BE">
        <w:rPr>
          <w:spacing w:val="0"/>
        </w:rPr>
        <w:t xml:space="preserve"> if requ</w:t>
      </w:r>
      <w:r w:rsidR="00F00322" w:rsidRPr="002D47BE">
        <w:rPr>
          <w:spacing w:val="0"/>
        </w:rPr>
        <w:t xml:space="preserve">ired by state law. </w:t>
      </w:r>
    </w:p>
    <w:p w:rsidR="00467655" w:rsidRPr="002D47BE" w:rsidRDefault="00467655" w:rsidP="001167D1">
      <w:pPr>
        <w:tabs>
          <w:tab w:val="left" w:pos="-1080"/>
          <w:tab w:val="left" w:pos="-720"/>
          <w:tab w:val="left" w:pos="0"/>
          <w:tab w:val="left" w:pos="360"/>
          <w:tab w:val="left" w:pos="1170"/>
        </w:tabs>
        <w:jc w:val="both"/>
        <w:rPr>
          <w:spacing w:val="0"/>
        </w:rPr>
      </w:pPr>
    </w:p>
    <w:p w:rsidR="00467655" w:rsidRPr="002D47BE" w:rsidRDefault="001167D1" w:rsidP="001167D1">
      <w:pPr>
        <w:tabs>
          <w:tab w:val="left" w:pos="-1080"/>
          <w:tab w:val="left" w:pos="-720"/>
          <w:tab w:val="left" w:pos="0"/>
          <w:tab w:val="left" w:pos="360"/>
          <w:tab w:val="left" w:pos="1170"/>
        </w:tabs>
        <w:jc w:val="both"/>
        <w:rPr>
          <w:spacing w:val="0"/>
        </w:rPr>
      </w:pPr>
      <w:r w:rsidRPr="002D47BE">
        <w:rPr>
          <w:b/>
          <w:spacing w:val="0"/>
        </w:rPr>
        <w:t>7</w:t>
      </w:r>
      <w:r w:rsidR="00467655" w:rsidRPr="002D47BE">
        <w:rPr>
          <w:b/>
          <w:spacing w:val="0"/>
        </w:rPr>
        <w:t>.</w:t>
      </w:r>
      <w:r w:rsidRPr="002D47BE">
        <w:rPr>
          <w:b/>
          <w:spacing w:val="0"/>
        </w:rPr>
        <w:tab/>
      </w:r>
      <w:r w:rsidR="00467655" w:rsidRPr="002D47BE">
        <w:rPr>
          <w:b/>
          <w:spacing w:val="0"/>
        </w:rPr>
        <w:t xml:space="preserve">Use of </w:t>
      </w:r>
      <w:r w:rsidR="00BD6446" w:rsidRPr="002D47BE">
        <w:rPr>
          <w:b/>
          <w:spacing w:val="0"/>
        </w:rPr>
        <w:t>f</w:t>
      </w:r>
      <w:r w:rsidR="00467655" w:rsidRPr="002D47BE">
        <w:rPr>
          <w:b/>
          <w:spacing w:val="0"/>
        </w:rPr>
        <w:t xml:space="preserve">ederal </w:t>
      </w:r>
      <w:r w:rsidR="00BD6446" w:rsidRPr="002D47BE">
        <w:rPr>
          <w:b/>
          <w:spacing w:val="0"/>
        </w:rPr>
        <w:t>g</w:t>
      </w:r>
      <w:r w:rsidR="00467655" w:rsidRPr="002D47BE">
        <w:rPr>
          <w:b/>
          <w:spacing w:val="0"/>
        </w:rPr>
        <w:t xml:space="preserve">rant </w:t>
      </w:r>
      <w:r w:rsidR="00BD6446" w:rsidRPr="002D47BE">
        <w:rPr>
          <w:b/>
          <w:spacing w:val="0"/>
        </w:rPr>
        <w:t>f</w:t>
      </w:r>
      <w:r w:rsidR="00467655" w:rsidRPr="002D47BE">
        <w:rPr>
          <w:b/>
          <w:spacing w:val="0"/>
        </w:rPr>
        <w:t>unds</w:t>
      </w:r>
      <w:r w:rsidR="00467655" w:rsidRPr="002D47BE">
        <w:rPr>
          <w:spacing w:val="0"/>
        </w:rPr>
        <w:t>. The PCA</w:t>
      </w:r>
      <w:r w:rsidR="00BD6446" w:rsidRPr="002D47BE">
        <w:rPr>
          <w:spacing w:val="0"/>
        </w:rPr>
        <w:t>-HCCN</w:t>
      </w:r>
      <w:r w:rsidR="00467655" w:rsidRPr="002D47BE">
        <w:rPr>
          <w:spacing w:val="0"/>
        </w:rPr>
        <w:t xml:space="preserve"> will not use </w:t>
      </w:r>
      <w:r w:rsidR="004846B1" w:rsidRPr="002D47BE">
        <w:rPr>
          <w:spacing w:val="0"/>
        </w:rPr>
        <w:t>federal</w:t>
      </w:r>
      <w:r w:rsidR="00467655" w:rsidRPr="002D47BE">
        <w:rPr>
          <w:spacing w:val="0"/>
        </w:rPr>
        <w:t xml:space="preserve"> </w:t>
      </w:r>
      <w:r w:rsidR="004846B1" w:rsidRPr="002D47BE">
        <w:rPr>
          <w:spacing w:val="0"/>
        </w:rPr>
        <w:t>gr</w:t>
      </w:r>
      <w:r w:rsidR="00BD6446" w:rsidRPr="002D47BE">
        <w:rPr>
          <w:spacing w:val="0"/>
        </w:rPr>
        <w:t>a</w:t>
      </w:r>
      <w:r w:rsidR="004846B1" w:rsidRPr="002D47BE">
        <w:rPr>
          <w:spacing w:val="0"/>
        </w:rPr>
        <w:t>n</w:t>
      </w:r>
      <w:r w:rsidR="00BD6446" w:rsidRPr="002D47BE">
        <w:rPr>
          <w:spacing w:val="0"/>
        </w:rPr>
        <w:t>t</w:t>
      </w:r>
      <w:r w:rsidR="00467655" w:rsidRPr="002D47BE">
        <w:rPr>
          <w:spacing w:val="0"/>
        </w:rPr>
        <w:t xml:space="preserve"> funds for fundraising purposes.</w:t>
      </w:r>
    </w:p>
    <w:p w:rsidR="00330F4F" w:rsidRPr="002D47BE" w:rsidRDefault="00330F4F" w:rsidP="001167D1">
      <w:pPr>
        <w:tabs>
          <w:tab w:val="left" w:pos="-1080"/>
          <w:tab w:val="left" w:pos="-720"/>
          <w:tab w:val="left" w:pos="0"/>
          <w:tab w:val="left" w:pos="360"/>
          <w:tab w:val="left" w:pos="1170"/>
        </w:tabs>
        <w:jc w:val="both"/>
        <w:rPr>
          <w:spacing w:val="0"/>
        </w:rPr>
      </w:pPr>
    </w:p>
    <w:p w:rsidR="00330F4F" w:rsidRPr="002D47BE" w:rsidRDefault="00330F4F" w:rsidP="00EC1E05">
      <w:pPr>
        <w:jc w:val="both"/>
        <w:rPr>
          <w:b/>
          <w:spacing w:val="0"/>
        </w:rPr>
      </w:pPr>
      <w:r w:rsidRPr="002D47BE">
        <w:rPr>
          <w:b/>
          <w:spacing w:val="0"/>
        </w:rPr>
        <w:t>This policy and procedure shall be periodically reviewed and updated consistent with the requirements and standards established by the Board of Directors and R/SPCA management</w:t>
      </w:r>
      <w:r w:rsidR="00BD6446" w:rsidRPr="002D47BE">
        <w:rPr>
          <w:b/>
          <w:spacing w:val="0"/>
        </w:rPr>
        <w:t xml:space="preserve">, </w:t>
      </w:r>
      <w:r w:rsidRPr="002D47BE">
        <w:rPr>
          <w:b/>
          <w:spacing w:val="0"/>
        </w:rPr>
        <w:t>federal and state laws and regulations</w:t>
      </w:r>
      <w:r w:rsidR="00BD6446" w:rsidRPr="002D47BE">
        <w:rPr>
          <w:b/>
          <w:spacing w:val="0"/>
        </w:rPr>
        <w:t xml:space="preserve">, </w:t>
      </w:r>
      <w:r w:rsidR="00BD68DE" w:rsidRPr="002D47BE">
        <w:rPr>
          <w:b/>
          <w:spacing w:val="0"/>
        </w:rPr>
        <w:t>and applicable accrediting and review organizations.</w:t>
      </w:r>
    </w:p>
    <w:p w:rsidR="00330F4F" w:rsidRPr="002D47BE" w:rsidRDefault="00330F4F" w:rsidP="00EC1E05">
      <w:pPr>
        <w:jc w:val="both"/>
        <w:rPr>
          <w:spacing w:val="0"/>
        </w:rPr>
      </w:pPr>
    </w:p>
    <w:p w:rsidR="00330F4F" w:rsidRPr="002D47BE" w:rsidRDefault="00330F4F" w:rsidP="00EC1E05">
      <w:pPr>
        <w:jc w:val="both"/>
        <w:rPr>
          <w:b/>
          <w:spacing w:val="0"/>
        </w:rPr>
      </w:pPr>
      <w:r w:rsidRPr="002D47BE">
        <w:rPr>
          <w:b/>
          <w:spacing w:val="0"/>
        </w:rPr>
        <w:t xml:space="preserve">Responsible </w:t>
      </w:r>
      <w:r w:rsidR="00BD68DE" w:rsidRPr="002D47BE">
        <w:rPr>
          <w:b/>
          <w:spacing w:val="0"/>
        </w:rPr>
        <w:t>p</w:t>
      </w:r>
      <w:r w:rsidRPr="002D47BE">
        <w:rPr>
          <w:b/>
          <w:spacing w:val="0"/>
        </w:rPr>
        <w:t>arties:</w:t>
      </w:r>
    </w:p>
    <w:p w:rsidR="00330F4F" w:rsidRPr="002D47BE" w:rsidRDefault="00330F4F" w:rsidP="00EC1E05">
      <w:pPr>
        <w:jc w:val="both"/>
        <w:rPr>
          <w:b/>
          <w:spacing w:val="0"/>
        </w:rPr>
      </w:pPr>
    </w:p>
    <w:p w:rsidR="00330F4F" w:rsidRPr="002D47BE" w:rsidRDefault="00330F4F" w:rsidP="00EC1E05">
      <w:pPr>
        <w:pStyle w:val="Heading3"/>
        <w:rPr>
          <w:b/>
          <w:szCs w:val="24"/>
        </w:rPr>
      </w:pPr>
      <w:r w:rsidRPr="002D47BE">
        <w:rPr>
          <w:szCs w:val="24"/>
        </w:rPr>
        <w:t>Signature</w:t>
      </w:r>
      <w:r w:rsidRPr="002D47BE">
        <w:rPr>
          <w:szCs w:val="24"/>
        </w:rPr>
        <w:tab/>
      </w:r>
      <w:r w:rsidRPr="002D47BE">
        <w:rPr>
          <w:szCs w:val="24"/>
        </w:rPr>
        <w:tab/>
      </w:r>
      <w:r w:rsidRPr="002D47BE">
        <w:rPr>
          <w:szCs w:val="24"/>
        </w:rPr>
        <w:tab/>
      </w:r>
      <w:r w:rsidRPr="002D47BE">
        <w:rPr>
          <w:szCs w:val="24"/>
        </w:rPr>
        <w:tab/>
      </w:r>
      <w:r w:rsidRPr="002D47BE">
        <w:rPr>
          <w:szCs w:val="24"/>
        </w:rPr>
        <w:tab/>
      </w:r>
      <w:r w:rsidRPr="002D47BE">
        <w:rPr>
          <w:szCs w:val="24"/>
        </w:rPr>
        <w:tab/>
      </w:r>
      <w:r w:rsidRPr="002D47BE">
        <w:rPr>
          <w:szCs w:val="24"/>
        </w:rPr>
        <w:tab/>
      </w:r>
      <w:r w:rsidRPr="002D47BE">
        <w:rPr>
          <w:szCs w:val="24"/>
        </w:rPr>
        <w:tab/>
        <w:t>Date</w:t>
      </w:r>
      <w:r w:rsidRPr="002D47BE">
        <w:rPr>
          <w:szCs w:val="24"/>
        </w:rPr>
        <w:tab/>
      </w:r>
      <w:r w:rsidRPr="002D47BE">
        <w:rPr>
          <w:szCs w:val="24"/>
        </w:rPr>
        <w:tab/>
      </w:r>
      <w:r w:rsidRPr="002D47BE">
        <w:rPr>
          <w:szCs w:val="24"/>
        </w:rPr>
        <w:tab/>
      </w:r>
      <w:r w:rsidRPr="002D47BE">
        <w:rPr>
          <w:szCs w:val="24"/>
        </w:rPr>
        <w:tab/>
      </w:r>
    </w:p>
    <w:p w:rsidR="00330F4F" w:rsidRPr="002D47BE" w:rsidRDefault="00330F4F" w:rsidP="00EC1E05">
      <w:pPr>
        <w:pStyle w:val="Heading3"/>
        <w:rPr>
          <w:szCs w:val="24"/>
          <w:u w:val="none"/>
        </w:rPr>
      </w:pPr>
      <w:r w:rsidRPr="002D47BE">
        <w:rPr>
          <w:szCs w:val="24"/>
          <w:u w:val="none"/>
        </w:rPr>
        <w:t>Executive Director</w:t>
      </w:r>
    </w:p>
    <w:p w:rsidR="00330F4F" w:rsidRPr="002D47BE" w:rsidRDefault="00330F4F" w:rsidP="00EC1E05">
      <w:pPr>
        <w:jc w:val="both"/>
        <w:rPr>
          <w:spacing w:val="0"/>
        </w:rPr>
      </w:pPr>
    </w:p>
    <w:p w:rsidR="00330F4F" w:rsidRPr="002D47BE" w:rsidRDefault="00330F4F" w:rsidP="00EC1E05">
      <w:pPr>
        <w:pStyle w:val="3"/>
        <w:rPr>
          <w:bCs/>
          <w:szCs w:val="24"/>
        </w:rPr>
      </w:pPr>
      <w:r w:rsidRPr="002D47BE">
        <w:rPr>
          <w:szCs w:val="24"/>
          <w:u w:val="single"/>
        </w:rPr>
        <w:t>Signature</w:t>
      </w:r>
      <w:r w:rsidRPr="002D47BE">
        <w:rPr>
          <w:szCs w:val="24"/>
          <w:u w:val="single"/>
        </w:rPr>
        <w:tab/>
      </w:r>
      <w:r w:rsidRPr="002D47BE">
        <w:rPr>
          <w:szCs w:val="24"/>
          <w:u w:val="single"/>
        </w:rPr>
        <w:tab/>
      </w:r>
      <w:r w:rsidRPr="002D47BE">
        <w:rPr>
          <w:szCs w:val="24"/>
          <w:u w:val="single"/>
        </w:rPr>
        <w:tab/>
      </w:r>
      <w:r w:rsidRPr="002D47BE">
        <w:rPr>
          <w:szCs w:val="24"/>
          <w:u w:val="single"/>
        </w:rPr>
        <w:tab/>
      </w:r>
      <w:r w:rsidRPr="002D47BE">
        <w:rPr>
          <w:szCs w:val="24"/>
          <w:u w:val="single"/>
        </w:rPr>
        <w:tab/>
      </w:r>
      <w:r w:rsidRPr="002D47BE">
        <w:rPr>
          <w:szCs w:val="24"/>
          <w:u w:val="single"/>
        </w:rPr>
        <w:tab/>
      </w:r>
      <w:r w:rsidRPr="002D47BE">
        <w:rPr>
          <w:szCs w:val="24"/>
          <w:u w:val="single"/>
        </w:rPr>
        <w:tab/>
      </w:r>
      <w:r w:rsidRPr="002D47BE">
        <w:rPr>
          <w:szCs w:val="24"/>
          <w:u w:val="single"/>
        </w:rPr>
        <w:tab/>
        <w:t>Date</w:t>
      </w:r>
      <w:r w:rsidRPr="002D47BE">
        <w:rPr>
          <w:szCs w:val="24"/>
          <w:u w:val="single"/>
        </w:rPr>
        <w:tab/>
      </w:r>
      <w:r w:rsidRPr="002D47BE">
        <w:rPr>
          <w:szCs w:val="24"/>
          <w:u w:val="single"/>
        </w:rPr>
        <w:tab/>
      </w:r>
      <w:r w:rsidRPr="002D47BE">
        <w:rPr>
          <w:szCs w:val="24"/>
          <w:u w:val="single"/>
        </w:rPr>
        <w:tab/>
      </w:r>
      <w:r w:rsidRPr="002D47BE">
        <w:rPr>
          <w:szCs w:val="24"/>
          <w:u w:val="single"/>
        </w:rPr>
        <w:tab/>
      </w:r>
    </w:p>
    <w:p w:rsidR="00330F4F" w:rsidRPr="002D47BE" w:rsidRDefault="00330F4F" w:rsidP="00EC1E05">
      <w:pPr>
        <w:jc w:val="both"/>
        <w:rPr>
          <w:spacing w:val="0"/>
        </w:rPr>
      </w:pPr>
    </w:p>
    <w:p w:rsidR="00330F4F" w:rsidRPr="002D47BE" w:rsidRDefault="00330F4F" w:rsidP="00EC1E05">
      <w:pPr>
        <w:tabs>
          <w:tab w:val="left" w:pos="-1080"/>
          <w:tab w:val="left" w:pos="-720"/>
          <w:tab w:val="left" w:pos="0"/>
          <w:tab w:val="left" w:pos="1170"/>
        </w:tabs>
        <w:jc w:val="both"/>
        <w:rPr>
          <w:spacing w:val="0"/>
        </w:rPr>
      </w:pPr>
    </w:p>
    <w:sectPr w:rsidR="00330F4F" w:rsidRPr="002D47BE" w:rsidSect="002D47BE">
      <w:headerReference w:type="default" r:id="rId9"/>
      <w:footerReference w:type="default" r:id="rId10"/>
      <w:pgSz w:w="12240" w:h="15840" w:code="1"/>
      <w:pgMar w:top="1440" w:right="1440" w:bottom="144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22" w:rsidRDefault="00F00322" w:rsidP="00F00322">
      <w:r>
        <w:separator/>
      </w:r>
    </w:p>
  </w:endnote>
  <w:endnote w:type="continuationSeparator" w:id="0">
    <w:p w:rsidR="00F00322" w:rsidRDefault="00F00322" w:rsidP="00F0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22" w:rsidRPr="006B59DD" w:rsidRDefault="00F00322" w:rsidP="00F00322">
    <w:pPr>
      <w:pBdr>
        <w:bottom w:val="single" w:sz="12" w:space="0" w:color="auto"/>
      </w:pBdr>
      <w:rPr>
        <w:rFonts w:eastAsia="Calibri"/>
        <w:bCs w:val="0"/>
        <w:sz w:val="20"/>
        <w:szCs w:val="20"/>
      </w:rPr>
    </w:pPr>
  </w:p>
  <w:p w:rsidR="00F00322" w:rsidRPr="006B59DD" w:rsidRDefault="00F00322" w:rsidP="00F00322">
    <w:pPr>
      <w:tabs>
        <w:tab w:val="left" w:pos="2340"/>
      </w:tabs>
      <w:jc w:val="center"/>
      <w:rPr>
        <w:rFonts w:eastAsia="Calibri"/>
        <w:bCs w:val="0"/>
        <w:sz w:val="20"/>
        <w:szCs w:val="20"/>
      </w:rPr>
    </w:pPr>
  </w:p>
  <w:p w:rsidR="00F00322" w:rsidRPr="002D47BE" w:rsidRDefault="00D14EE7" w:rsidP="00F00322">
    <w:pPr>
      <w:tabs>
        <w:tab w:val="left" w:pos="2340"/>
      </w:tabs>
      <w:jc w:val="center"/>
      <w:rPr>
        <w:rFonts w:eastAsia="Calibri"/>
        <w:bCs w:val="0"/>
        <w:spacing w:val="0"/>
        <w:sz w:val="20"/>
        <w:szCs w:val="20"/>
      </w:rPr>
    </w:pPr>
    <w:r w:rsidRPr="002D47BE">
      <w:rPr>
        <w:rFonts w:eastAsia="Calibri"/>
        <w:spacing w:val="0"/>
        <w:sz w:val="20"/>
        <w:szCs w:val="20"/>
      </w:rPr>
      <w:t xml:space="preserve">The </w:t>
    </w:r>
    <w:r w:rsidR="00B65CEC" w:rsidRPr="002D47BE">
      <w:rPr>
        <w:rFonts w:eastAsia="Calibri"/>
        <w:spacing w:val="0"/>
        <w:sz w:val="20"/>
        <w:szCs w:val="20"/>
      </w:rPr>
      <w:t xml:space="preserve">Corporate </w:t>
    </w:r>
    <w:r w:rsidR="00F00322" w:rsidRPr="002D47BE">
      <w:rPr>
        <w:rFonts w:eastAsia="Calibri"/>
        <w:spacing w:val="0"/>
        <w:sz w:val="20"/>
        <w:szCs w:val="20"/>
      </w:rPr>
      <w:t>Compliance Toolkit</w:t>
    </w:r>
    <w:r w:rsidR="00B65CEC" w:rsidRPr="002D47BE">
      <w:rPr>
        <w:rFonts w:eastAsia="Calibri"/>
        <w:spacing w:val="0"/>
        <w:sz w:val="20"/>
        <w:szCs w:val="20"/>
      </w:rPr>
      <w:t xml:space="preserve"> for PCAs-HCCNs</w:t>
    </w:r>
  </w:p>
  <w:p w:rsidR="00F00322" w:rsidRPr="002D47BE" w:rsidRDefault="00F00322" w:rsidP="00F00322">
    <w:pPr>
      <w:tabs>
        <w:tab w:val="left" w:pos="2340"/>
      </w:tabs>
      <w:jc w:val="center"/>
      <w:rPr>
        <w:rFonts w:eastAsia="Calibri"/>
        <w:bCs w:val="0"/>
        <w:spacing w:val="0"/>
        <w:sz w:val="20"/>
        <w:szCs w:val="20"/>
        <w:lang w:val="de-DE"/>
      </w:rPr>
    </w:pPr>
    <w:r w:rsidRPr="002D47BE">
      <w:rPr>
        <w:rFonts w:eastAsia="Calibri"/>
        <w:spacing w:val="0"/>
        <w:sz w:val="20"/>
        <w:szCs w:val="20"/>
        <w:lang w:val="de-DE"/>
      </w:rPr>
      <w:t>© 201</w:t>
    </w:r>
    <w:r w:rsidR="00B65CEC" w:rsidRPr="002D47BE">
      <w:rPr>
        <w:rFonts w:eastAsia="Calibri"/>
        <w:spacing w:val="0"/>
        <w:sz w:val="20"/>
        <w:szCs w:val="20"/>
        <w:lang w:val="de-DE"/>
      </w:rPr>
      <w:t>5</w:t>
    </w:r>
    <w:r w:rsidRPr="002D47BE">
      <w:rPr>
        <w:rFonts w:eastAsia="Calibri"/>
        <w:spacing w:val="0"/>
        <w:sz w:val="20"/>
        <w:szCs w:val="20"/>
        <w:lang w:val="de-DE"/>
      </w:rPr>
      <w:t xml:space="preserve"> </w:t>
    </w:r>
    <w:r w:rsidRPr="002D47BE">
      <w:rPr>
        <w:rFonts w:eastAsia="Calibri"/>
        <w:spacing w:val="0"/>
        <w:sz w:val="20"/>
        <w:szCs w:val="20"/>
      </w:rPr>
      <w:t>National Association of Community Health Centers, Inc.</w:t>
    </w:r>
  </w:p>
  <w:p w:rsidR="00F00322" w:rsidRPr="002D47BE" w:rsidRDefault="00F00322" w:rsidP="00F00322">
    <w:pPr>
      <w:tabs>
        <w:tab w:val="left" w:pos="2340"/>
      </w:tabs>
      <w:jc w:val="center"/>
      <w:rPr>
        <w:rFonts w:eastAsia="Calibri"/>
        <w:bCs w:val="0"/>
        <w:spacing w:val="0"/>
        <w:sz w:val="20"/>
        <w:szCs w:val="20"/>
        <w:lang w:val="de-DE"/>
      </w:rPr>
    </w:pPr>
    <w:r w:rsidRPr="002D47BE">
      <w:rPr>
        <w:rFonts w:eastAsia="Calibri"/>
        <w:spacing w:val="0"/>
        <w:sz w:val="20"/>
        <w:szCs w:val="20"/>
        <w:lang w:val="de-DE"/>
      </w:rPr>
      <w:t>and Feldesman Tucker Leifer Fidell LLP</w:t>
    </w:r>
  </w:p>
  <w:p w:rsidR="00F00322" w:rsidRPr="002D47BE" w:rsidRDefault="00F00322" w:rsidP="00F00322">
    <w:pPr>
      <w:tabs>
        <w:tab w:val="left" w:pos="2340"/>
      </w:tabs>
      <w:jc w:val="center"/>
      <w:rPr>
        <w:rFonts w:eastAsia="Calibri"/>
        <w:bCs w:val="0"/>
        <w:spacing w:val="0"/>
        <w:sz w:val="20"/>
        <w:szCs w:val="20"/>
      </w:rPr>
    </w:pPr>
  </w:p>
  <w:p w:rsidR="00F00322" w:rsidRPr="002D47BE" w:rsidRDefault="00F00322" w:rsidP="00F00322">
    <w:pPr>
      <w:tabs>
        <w:tab w:val="left" w:pos="2340"/>
      </w:tabs>
      <w:jc w:val="center"/>
      <w:rPr>
        <w:rFonts w:eastAsia="Calibri"/>
        <w:spacing w:val="0"/>
        <w:sz w:val="20"/>
        <w:szCs w:val="20"/>
        <w:lang w:val="de-DE"/>
      </w:rPr>
    </w:pPr>
    <w:r w:rsidRPr="002D47BE">
      <w:rPr>
        <w:rFonts w:eastAsia="Calibri"/>
        <w:bCs w:val="0"/>
        <w:spacing w:val="0"/>
        <w:sz w:val="20"/>
        <w:szCs w:val="20"/>
      </w:rPr>
      <w:fldChar w:fldCharType="begin"/>
    </w:r>
    <w:r w:rsidRPr="002D47BE">
      <w:rPr>
        <w:rFonts w:eastAsia="Calibri"/>
        <w:spacing w:val="0"/>
        <w:sz w:val="20"/>
        <w:szCs w:val="20"/>
      </w:rPr>
      <w:instrText xml:space="preserve"> PAGE </w:instrText>
    </w:r>
    <w:r w:rsidRPr="002D47BE">
      <w:rPr>
        <w:rFonts w:eastAsia="Calibri"/>
        <w:bCs w:val="0"/>
        <w:spacing w:val="0"/>
        <w:sz w:val="20"/>
        <w:szCs w:val="20"/>
      </w:rPr>
      <w:fldChar w:fldCharType="separate"/>
    </w:r>
    <w:r w:rsidR="00AB5786">
      <w:rPr>
        <w:rFonts w:eastAsia="Calibri"/>
        <w:noProof/>
        <w:spacing w:val="0"/>
        <w:sz w:val="20"/>
        <w:szCs w:val="20"/>
      </w:rPr>
      <w:t>1</w:t>
    </w:r>
    <w:r w:rsidRPr="002D47BE">
      <w:rPr>
        <w:rFonts w:eastAsia="Calibri"/>
        <w:bCs w:val="0"/>
        <w:spacing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22" w:rsidRDefault="00F00322" w:rsidP="00F00322">
      <w:r>
        <w:separator/>
      </w:r>
    </w:p>
  </w:footnote>
  <w:footnote w:type="continuationSeparator" w:id="0">
    <w:p w:rsidR="00F00322" w:rsidRDefault="00F00322" w:rsidP="00F00322">
      <w:r>
        <w:continuationSeparator/>
      </w:r>
    </w:p>
  </w:footnote>
  <w:footnote w:id="1">
    <w:p w:rsidR="00332D8E" w:rsidRPr="008F7F19" w:rsidRDefault="00332D8E" w:rsidP="00EC1E05">
      <w:pPr>
        <w:pStyle w:val="FootnoteText"/>
        <w:ind w:left="360" w:hanging="360"/>
        <w:rPr>
          <w:spacing w:val="0"/>
        </w:rPr>
      </w:pPr>
      <w:r>
        <w:rPr>
          <w:rStyle w:val="FootnoteReference"/>
        </w:rPr>
        <w:footnoteRef/>
      </w:r>
      <w:r>
        <w:t xml:space="preserve"> </w:t>
      </w:r>
      <w:r w:rsidR="00EC1E05">
        <w:tab/>
      </w:r>
      <w:r w:rsidRPr="008F7F19">
        <w:rPr>
          <w:spacing w:val="0"/>
        </w:rPr>
        <w:t>The Authors of these materials include attorneys at the law firm of Feldesman Tucker Leifer Fidell LLP. The sample documents offer general guidance based on f</w:t>
      </w:r>
      <w:r w:rsidR="00D14EE7" w:rsidRPr="008F7F19">
        <w:rPr>
          <w:spacing w:val="0"/>
        </w:rPr>
        <w:t>ederal law and regulations</w:t>
      </w:r>
      <w:r w:rsidRPr="008F7F19">
        <w:rPr>
          <w:spacing w:val="0"/>
        </w:rPr>
        <w:t xml:space="preserve"> and do not necessarily apply to all PCAs</w:t>
      </w:r>
      <w:r w:rsidR="00251554" w:rsidRPr="008F7F19">
        <w:rPr>
          <w:spacing w:val="0"/>
        </w:rPr>
        <w:t>-HCCNs</w:t>
      </w:r>
      <w:r w:rsidRPr="008F7F19">
        <w:rPr>
          <w:spacing w:val="0"/>
        </w:rPr>
        <w:t xml:space="preserve"> under all facts and circumstances. Further, these materials do not replace, and are not a substitute for, legal advice from qualified legal counsel.</w:t>
      </w:r>
    </w:p>
  </w:footnote>
  <w:footnote w:id="2">
    <w:p w:rsidR="00F00322" w:rsidRPr="008F7F19" w:rsidRDefault="00F00322" w:rsidP="00EC1E05">
      <w:pPr>
        <w:pStyle w:val="FootnoteText"/>
        <w:ind w:left="360" w:hanging="360"/>
        <w:rPr>
          <w:spacing w:val="0"/>
        </w:rPr>
      </w:pPr>
      <w:r w:rsidRPr="008F7F19">
        <w:rPr>
          <w:rStyle w:val="FootnoteReference"/>
          <w:spacing w:val="0"/>
        </w:rPr>
        <w:footnoteRef/>
      </w:r>
      <w:r w:rsidRPr="008F7F19">
        <w:rPr>
          <w:spacing w:val="0"/>
        </w:rPr>
        <w:t xml:space="preserve"> </w:t>
      </w:r>
      <w:r w:rsidR="00EC1E05" w:rsidRPr="008F7F19">
        <w:rPr>
          <w:spacing w:val="0"/>
        </w:rPr>
        <w:tab/>
      </w:r>
      <w:r w:rsidR="001313E2" w:rsidRPr="008F7F19">
        <w:rPr>
          <w:spacing w:val="0"/>
        </w:rPr>
        <w:t xml:space="preserve">Authors’ note: </w:t>
      </w:r>
      <w:r w:rsidRPr="008F7F19">
        <w:rPr>
          <w:spacing w:val="0"/>
        </w:rPr>
        <w:t>Using the following sample as a guide, PCAs</w:t>
      </w:r>
      <w:r w:rsidR="00251554" w:rsidRPr="008F7F19">
        <w:rPr>
          <w:spacing w:val="0"/>
        </w:rPr>
        <w:t>-HCCNs</w:t>
      </w:r>
      <w:r w:rsidRPr="008F7F19">
        <w:rPr>
          <w:spacing w:val="0"/>
        </w:rPr>
        <w:t xml:space="preserve"> should tailor the procedure to reflect their own structures and operations.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22" w:rsidRPr="00277BE6" w:rsidRDefault="00F00322" w:rsidP="00F00322">
    <w:pPr>
      <w:jc w:val="center"/>
      <w:rPr>
        <w:spacing w:val="0"/>
        <w:sz w:val="20"/>
      </w:rPr>
    </w:pPr>
    <w:r w:rsidRPr="00277BE6">
      <w:rPr>
        <w:spacing w:val="0"/>
        <w:sz w:val="20"/>
      </w:rPr>
      <w:t>Volume II: PCA</w:t>
    </w:r>
    <w:r w:rsidR="00B65CEC" w:rsidRPr="00277BE6">
      <w:rPr>
        <w:spacing w:val="0"/>
        <w:sz w:val="20"/>
      </w:rPr>
      <w:t>-HCCN</w:t>
    </w:r>
    <w:r w:rsidRPr="00277BE6">
      <w:rPr>
        <w:spacing w:val="0"/>
        <w:sz w:val="20"/>
      </w:rPr>
      <w:t xml:space="preserve"> Risk Areas</w:t>
    </w:r>
  </w:p>
  <w:p w:rsidR="00F00322" w:rsidRPr="00277BE6" w:rsidRDefault="00F00322" w:rsidP="00F00322">
    <w:pPr>
      <w:pBdr>
        <w:bottom w:val="single" w:sz="12" w:space="0" w:color="auto"/>
      </w:pBdr>
      <w:jc w:val="center"/>
      <w:rPr>
        <w:spacing w:val="0"/>
        <w:sz w:val="20"/>
      </w:rPr>
    </w:pPr>
    <w:r w:rsidRPr="00277BE6">
      <w:rPr>
        <w:spacing w:val="0"/>
        <w:sz w:val="20"/>
      </w:rPr>
      <w:t>Member Services</w:t>
    </w:r>
  </w:p>
  <w:p w:rsidR="00F00322" w:rsidRPr="00014E7E" w:rsidRDefault="00F00322" w:rsidP="00F00322">
    <w:pPr>
      <w:pBdr>
        <w:bottom w:val="single" w:sz="12" w:space="0" w:color="auto"/>
      </w:pBdr>
      <w:jc w:val="center"/>
      <w:rPr>
        <w:sz w:val="20"/>
      </w:rPr>
    </w:pPr>
  </w:p>
  <w:p w:rsidR="00F00322" w:rsidRDefault="00F00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E0E23"/>
    <w:multiLevelType w:val="hybridMultilevel"/>
    <w:tmpl w:val="0ED66F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56"/>
    <w:rsid w:val="0000738F"/>
    <w:rsid w:val="000B4285"/>
    <w:rsid w:val="001167D1"/>
    <w:rsid w:val="001313E2"/>
    <w:rsid w:val="0013461C"/>
    <w:rsid w:val="00186080"/>
    <w:rsid w:val="00235D7B"/>
    <w:rsid w:val="00251554"/>
    <w:rsid w:val="00277BE6"/>
    <w:rsid w:val="002D47BE"/>
    <w:rsid w:val="002F0898"/>
    <w:rsid w:val="00324D3D"/>
    <w:rsid w:val="00330F4F"/>
    <w:rsid w:val="00332D8E"/>
    <w:rsid w:val="0036018B"/>
    <w:rsid w:val="00402749"/>
    <w:rsid w:val="00425550"/>
    <w:rsid w:val="004401F4"/>
    <w:rsid w:val="00467655"/>
    <w:rsid w:val="004846B1"/>
    <w:rsid w:val="004C1BE1"/>
    <w:rsid w:val="004E2487"/>
    <w:rsid w:val="005007F0"/>
    <w:rsid w:val="005C0006"/>
    <w:rsid w:val="005F1106"/>
    <w:rsid w:val="00637056"/>
    <w:rsid w:val="006776D2"/>
    <w:rsid w:val="006B17FF"/>
    <w:rsid w:val="007060D7"/>
    <w:rsid w:val="007625CD"/>
    <w:rsid w:val="007A2FC3"/>
    <w:rsid w:val="007B7D0A"/>
    <w:rsid w:val="007F6206"/>
    <w:rsid w:val="008127C2"/>
    <w:rsid w:val="008727DD"/>
    <w:rsid w:val="008A7438"/>
    <w:rsid w:val="008F7F19"/>
    <w:rsid w:val="00914D44"/>
    <w:rsid w:val="00920444"/>
    <w:rsid w:val="00947EDD"/>
    <w:rsid w:val="00957401"/>
    <w:rsid w:val="00977D2A"/>
    <w:rsid w:val="00AB5786"/>
    <w:rsid w:val="00B65CEC"/>
    <w:rsid w:val="00BC3D27"/>
    <w:rsid w:val="00BD23E9"/>
    <w:rsid w:val="00BD6446"/>
    <w:rsid w:val="00BD68DE"/>
    <w:rsid w:val="00BF3EAD"/>
    <w:rsid w:val="00C63D01"/>
    <w:rsid w:val="00CB78AA"/>
    <w:rsid w:val="00D02674"/>
    <w:rsid w:val="00D14EE7"/>
    <w:rsid w:val="00D503B5"/>
    <w:rsid w:val="00DA5DD4"/>
    <w:rsid w:val="00DB2F67"/>
    <w:rsid w:val="00DD7543"/>
    <w:rsid w:val="00E14A79"/>
    <w:rsid w:val="00E955D6"/>
    <w:rsid w:val="00EB07F2"/>
    <w:rsid w:val="00EC1E05"/>
    <w:rsid w:val="00F00322"/>
    <w:rsid w:val="00F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56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7056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637056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637056"/>
    <w:pPr>
      <w:keepNext/>
      <w:jc w:val="both"/>
      <w:outlineLvl w:val="2"/>
    </w:pPr>
    <w:rPr>
      <w:bCs w:val="0"/>
      <w:spacing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637056"/>
    <w:pPr>
      <w:keepNext/>
      <w:ind w:firstLine="3600"/>
      <w:outlineLvl w:val="3"/>
    </w:pPr>
    <w:rPr>
      <w:b/>
      <w:bCs w:val="0"/>
    </w:rPr>
  </w:style>
  <w:style w:type="paragraph" w:styleId="Heading6">
    <w:name w:val="heading 6"/>
    <w:basedOn w:val="Normal"/>
    <w:next w:val="Normal"/>
    <w:link w:val="Heading6Char"/>
    <w:qFormat/>
    <w:rsid w:val="00637056"/>
    <w:pPr>
      <w:keepNext/>
      <w:jc w:val="center"/>
      <w:outlineLvl w:val="5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37056"/>
    <w:rPr>
      <w:rFonts w:ascii="Times New Roman" w:eastAsia="Times New Roman" w:hAnsi="Times New Roman" w:cs="Times New Roman"/>
      <w:bCs/>
      <w:spacing w:val="-3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37056"/>
    <w:rPr>
      <w:rFonts w:ascii="Times New Roman" w:eastAsia="Times New Roman" w:hAnsi="Times New Roman" w:cs="Times New Roman"/>
      <w:bCs/>
      <w:spacing w:val="-3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637056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37056"/>
    <w:rPr>
      <w:rFonts w:ascii="Times New Roman" w:eastAsia="Times New Roman" w:hAnsi="Times New Roman" w:cs="Times New Roman"/>
      <w:b/>
      <w:spacing w:val="-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37056"/>
    <w:rPr>
      <w:rFonts w:ascii="Times New Roman" w:eastAsia="Times New Roman" w:hAnsi="Times New Roman" w:cs="Times New Roman"/>
      <w:b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637056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637056"/>
    <w:rPr>
      <w:rFonts w:ascii="Times New Roman" w:eastAsia="Times New Roman" w:hAnsi="Times New Roman" w:cs="Times New Roman"/>
      <w:bCs/>
      <w:spacing w:val="-3"/>
      <w:sz w:val="48"/>
      <w:szCs w:val="24"/>
    </w:rPr>
  </w:style>
  <w:style w:type="paragraph" w:styleId="Title">
    <w:name w:val="Title"/>
    <w:basedOn w:val="Normal"/>
    <w:link w:val="TitleChar"/>
    <w:qFormat/>
    <w:rsid w:val="00637056"/>
    <w:pPr>
      <w:jc w:val="center"/>
    </w:pPr>
    <w:rPr>
      <w:rFonts w:ascii="Arial" w:hAnsi="Arial"/>
      <w:b/>
      <w:spacing w:val="0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637056"/>
    <w:rPr>
      <w:rFonts w:ascii="Arial" w:eastAsia="Times New Roman" w:hAnsi="Arial" w:cs="Times New Roman"/>
      <w:b/>
      <w:bCs/>
      <w:szCs w:val="20"/>
    </w:rPr>
  </w:style>
  <w:style w:type="paragraph" w:customStyle="1" w:styleId="3">
    <w:name w:val="3)"/>
    <w:basedOn w:val="Normal"/>
    <w:rsid w:val="00637056"/>
    <w:pPr>
      <w:jc w:val="both"/>
    </w:pPr>
    <w:rPr>
      <w:bCs w:val="0"/>
      <w:spacing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0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322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322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22"/>
    <w:rPr>
      <w:rFonts w:ascii="Tahoma" w:eastAsia="Times New Roman" w:hAnsi="Tahoma" w:cs="Tahoma"/>
      <w:bCs/>
      <w:spacing w:val="-3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03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322"/>
    <w:rPr>
      <w:rFonts w:ascii="Times New Roman" w:eastAsia="Times New Roman" w:hAnsi="Times New Roman" w:cs="Times New Roman"/>
      <w:bCs/>
      <w:spacing w:val="-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03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56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7056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637056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637056"/>
    <w:pPr>
      <w:keepNext/>
      <w:jc w:val="both"/>
      <w:outlineLvl w:val="2"/>
    </w:pPr>
    <w:rPr>
      <w:bCs w:val="0"/>
      <w:spacing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637056"/>
    <w:pPr>
      <w:keepNext/>
      <w:ind w:firstLine="3600"/>
      <w:outlineLvl w:val="3"/>
    </w:pPr>
    <w:rPr>
      <w:b/>
      <w:bCs w:val="0"/>
    </w:rPr>
  </w:style>
  <w:style w:type="paragraph" w:styleId="Heading6">
    <w:name w:val="heading 6"/>
    <w:basedOn w:val="Normal"/>
    <w:next w:val="Normal"/>
    <w:link w:val="Heading6Char"/>
    <w:qFormat/>
    <w:rsid w:val="00637056"/>
    <w:pPr>
      <w:keepNext/>
      <w:jc w:val="center"/>
      <w:outlineLvl w:val="5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37056"/>
    <w:rPr>
      <w:rFonts w:ascii="Times New Roman" w:eastAsia="Times New Roman" w:hAnsi="Times New Roman" w:cs="Times New Roman"/>
      <w:bCs/>
      <w:spacing w:val="-3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37056"/>
    <w:rPr>
      <w:rFonts w:ascii="Times New Roman" w:eastAsia="Times New Roman" w:hAnsi="Times New Roman" w:cs="Times New Roman"/>
      <w:bCs/>
      <w:spacing w:val="-3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637056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37056"/>
    <w:rPr>
      <w:rFonts w:ascii="Times New Roman" w:eastAsia="Times New Roman" w:hAnsi="Times New Roman" w:cs="Times New Roman"/>
      <w:b/>
      <w:spacing w:val="-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37056"/>
    <w:rPr>
      <w:rFonts w:ascii="Times New Roman" w:eastAsia="Times New Roman" w:hAnsi="Times New Roman" w:cs="Times New Roman"/>
      <w:b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637056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637056"/>
    <w:rPr>
      <w:rFonts w:ascii="Times New Roman" w:eastAsia="Times New Roman" w:hAnsi="Times New Roman" w:cs="Times New Roman"/>
      <w:bCs/>
      <w:spacing w:val="-3"/>
      <w:sz w:val="48"/>
      <w:szCs w:val="24"/>
    </w:rPr>
  </w:style>
  <w:style w:type="paragraph" w:styleId="Title">
    <w:name w:val="Title"/>
    <w:basedOn w:val="Normal"/>
    <w:link w:val="TitleChar"/>
    <w:qFormat/>
    <w:rsid w:val="00637056"/>
    <w:pPr>
      <w:jc w:val="center"/>
    </w:pPr>
    <w:rPr>
      <w:rFonts w:ascii="Arial" w:hAnsi="Arial"/>
      <w:b/>
      <w:spacing w:val="0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637056"/>
    <w:rPr>
      <w:rFonts w:ascii="Arial" w:eastAsia="Times New Roman" w:hAnsi="Arial" w:cs="Times New Roman"/>
      <w:b/>
      <w:bCs/>
      <w:szCs w:val="20"/>
    </w:rPr>
  </w:style>
  <w:style w:type="paragraph" w:customStyle="1" w:styleId="3">
    <w:name w:val="3)"/>
    <w:basedOn w:val="Normal"/>
    <w:rsid w:val="00637056"/>
    <w:pPr>
      <w:jc w:val="both"/>
    </w:pPr>
    <w:rPr>
      <w:bCs w:val="0"/>
      <w:spacing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0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322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322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22"/>
    <w:rPr>
      <w:rFonts w:ascii="Tahoma" w:eastAsia="Times New Roman" w:hAnsi="Tahoma" w:cs="Tahoma"/>
      <w:bCs/>
      <w:spacing w:val="-3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03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322"/>
    <w:rPr>
      <w:rFonts w:ascii="Times New Roman" w:eastAsia="Times New Roman" w:hAnsi="Times New Roman" w:cs="Times New Roman"/>
      <w:bCs/>
      <w:spacing w:val="-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03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F0BB-2030-40AA-87F5-E8C06A26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Feldesman Tucker Leifer Fidell LLP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Falcone, Adam J.</dc:creator>
  <cp:lastModifiedBy>Zimbro, Karen</cp:lastModifiedBy>
  <cp:revision>5</cp:revision>
  <cp:lastPrinted>2015-11-13T16:22:00Z</cp:lastPrinted>
  <dcterms:created xsi:type="dcterms:W3CDTF">2015-11-13T15:55:00Z</dcterms:created>
  <dcterms:modified xsi:type="dcterms:W3CDTF">2015-11-13T16:24:00Z</dcterms:modified>
</cp:coreProperties>
</file>