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52" w:rsidRPr="00D247E8" w:rsidRDefault="00FB5F39" w:rsidP="00AC6052">
      <w:pPr>
        <w:autoSpaceDE w:val="0"/>
        <w:autoSpaceDN w:val="0"/>
        <w:adjustRightInd w:val="0"/>
        <w:spacing w:before="11"/>
        <w:jc w:val="center"/>
        <w:rPr>
          <w:b/>
          <w:sz w:val="32"/>
          <w:szCs w:val="32"/>
        </w:rPr>
      </w:pPr>
      <w:r w:rsidRPr="00D247E8">
        <w:rPr>
          <w:b/>
          <w:iCs/>
          <w:sz w:val="32"/>
          <w:szCs w:val="32"/>
        </w:rPr>
        <w:t>Federal Tax Law and Cost Principles</w:t>
      </w:r>
      <w:r w:rsidR="00AC6052" w:rsidRPr="00D247E8">
        <w:rPr>
          <w:b/>
          <w:bCs/>
          <w:iCs/>
          <w:sz w:val="32"/>
          <w:szCs w:val="32"/>
        </w:rPr>
        <w:t xml:space="preserve">: </w:t>
      </w:r>
      <w:r w:rsidR="00AC6052" w:rsidRPr="00D247E8">
        <w:rPr>
          <w:b/>
          <w:sz w:val="32"/>
          <w:szCs w:val="32"/>
        </w:rPr>
        <w:t>Introductory Guidance</w:t>
      </w:r>
    </w:p>
    <w:p w:rsidR="00FB5F39" w:rsidRPr="00245D73" w:rsidRDefault="00FB5F39" w:rsidP="00FB5F39">
      <w:pPr>
        <w:pBdr>
          <w:bottom w:val="single" w:sz="12" w:space="1" w:color="auto"/>
        </w:pBdr>
        <w:autoSpaceDE w:val="0"/>
        <w:autoSpaceDN w:val="0"/>
        <w:adjustRightInd w:val="0"/>
        <w:ind w:right="-20"/>
        <w:rPr>
          <w:b/>
          <w:bCs/>
        </w:rPr>
      </w:pPr>
    </w:p>
    <w:p w:rsidR="00CD4C0D" w:rsidRPr="00DF20EC" w:rsidRDefault="00CD4C0D" w:rsidP="00CD4C0D">
      <w:pPr>
        <w:pStyle w:val="Title"/>
        <w:jc w:val="left"/>
        <w:rPr>
          <w:rFonts w:ascii="Times New Roman" w:hAnsi="Times New Roman"/>
          <w:b w:val="0"/>
          <w:bCs w:val="0"/>
          <w:iCs/>
          <w:sz w:val="24"/>
          <w:szCs w:val="24"/>
        </w:rPr>
      </w:pPr>
    </w:p>
    <w:p w:rsidR="00CD4C0D" w:rsidRPr="005852FF" w:rsidRDefault="00AC6052" w:rsidP="005852FF">
      <w:pPr>
        <w:pStyle w:val="Title"/>
        <w:jc w:val="both"/>
        <w:rPr>
          <w:rFonts w:ascii="Times New Roman" w:hAnsi="Times New Roman"/>
          <w:b w:val="0"/>
          <w:bCs w:val="0"/>
          <w:iCs/>
          <w:sz w:val="24"/>
          <w:szCs w:val="24"/>
        </w:rPr>
      </w:pPr>
      <w:r w:rsidRPr="005852FF">
        <w:rPr>
          <w:rFonts w:ascii="Times New Roman" w:hAnsi="Times New Roman"/>
          <w:bCs w:val="0"/>
          <w:iCs/>
          <w:sz w:val="24"/>
          <w:szCs w:val="24"/>
        </w:rPr>
        <w:t>Background</w:t>
      </w:r>
    </w:p>
    <w:p w:rsidR="00AC6052" w:rsidRPr="005852FF" w:rsidRDefault="00AC6052" w:rsidP="005852FF">
      <w:pPr>
        <w:pStyle w:val="Title"/>
        <w:jc w:val="both"/>
        <w:rPr>
          <w:rFonts w:ascii="Times New Roman" w:hAnsi="Times New Roman"/>
          <w:b w:val="0"/>
          <w:bCs w:val="0"/>
          <w:iCs/>
          <w:sz w:val="24"/>
          <w:szCs w:val="24"/>
        </w:rPr>
      </w:pPr>
    </w:p>
    <w:p w:rsidR="00CD4C0D" w:rsidRPr="005852FF" w:rsidRDefault="00CD4C0D" w:rsidP="005852FF">
      <w:pPr>
        <w:pStyle w:val="Title"/>
        <w:jc w:val="both"/>
        <w:rPr>
          <w:rFonts w:ascii="Times New Roman" w:hAnsi="Times New Roman"/>
          <w:b w:val="0"/>
          <w:bCs w:val="0"/>
          <w:iCs/>
          <w:sz w:val="24"/>
          <w:szCs w:val="24"/>
        </w:rPr>
      </w:pPr>
      <w:r w:rsidRPr="005852FF">
        <w:rPr>
          <w:rFonts w:ascii="Times New Roman" w:hAnsi="Times New Roman"/>
          <w:b w:val="0"/>
          <w:bCs w:val="0"/>
          <w:iCs/>
          <w:sz w:val="24"/>
          <w:szCs w:val="24"/>
          <w:u w:val="single"/>
        </w:rPr>
        <w:t>Lobbying Activities</w:t>
      </w:r>
    </w:p>
    <w:p w:rsidR="00CD4C0D" w:rsidRPr="005852FF" w:rsidRDefault="00CD4C0D" w:rsidP="005852FF">
      <w:pPr>
        <w:pStyle w:val="Title"/>
        <w:jc w:val="both"/>
        <w:rPr>
          <w:rFonts w:ascii="Times New Roman" w:hAnsi="Times New Roman"/>
          <w:b w:val="0"/>
          <w:bCs w:val="0"/>
          <w:iCs/>
          <w:sz w:val="24"/>
          <w:szCs w:val="24"/>
        </w:rPr>
      </w:pPr>
    </w:p>
    <w:p w:rsidR="00CD4C0D" w:rsidRPr="005852FF" w:rsidRDefault="00CD4C0D" w:rsidP="005852FF">
      <w:pPr>
        <w:pStyle w:val="Title"/>
        <w:jc w:val="both"/>
        <w:rPr>
          <w:rFonts w:ascii="Times New Roman" w:hAnsi="Times New Roman"/>
          <w:bCs w:val="0"/>
          <w:iCs/>
          <w:sz w:val="24"/>
          <w:szCs w:val="24"/>
        </w:rPr>
      </w:pPr>
      <w:r w:rsidRPr="005852FF">
        <w:rPr>
          <w:rFonts w:ascii="Times New Roman" w:hAnsi="Times New Roman"/>
          <w:b w:val="0"/>
          <w:bCs w:val="0"/>
          <w:iCs/>
          <w:sz w:val="24"/>
          <w:szCs w:val="24"/>
        </w:rPr>
        <w:t xml:space="preserve">Lobbying is defined as any communication, written or oral, that is intended to influence the passage or defeat of specific legislation, resolution, referendum, constitutional amendment, or similar items </w:t>
      </w:r>
      <w:r w:rsidR="00DF20EC" w:rsidRPr="005852FF">
        <w:rPr>
          <w:rFonts w:ascii="Times New Roman" w:hAnsi="Times New Roman"/>
          <w:b w:val="0"/>
          <w:bCs w:val="0"/>
          <w:iCs/>
          <w:sz w:val="24"/>
          <w:szCs w:val="24"/>
        </w:rPr>
        <w:t>or procedures by Congress or a state or local legislative body</w:t>
      </w:r>
      <w:r w:rsidRPr="005852FF">
        <w:rPr>
          <w:rFonts w:ascii="Times New Roman" w:hAnsi="Times New Roman"/>
          <w:b w:val="0"/>
          <w:bCs w:val="0"/>
          <w:iCs/>
          <w:sz w:val="24"/>
          <w:szCs w:val="24"/>
        </w:rPr>
        <w:t>. The Internal Revenue Code (“IRC”) permits orga</w:t>
      </w:r>
      <w:r w:rsidR="00DF20EC" w:rsidRPr="005852FF">
        <w:rPr>
          <w:rFonts w:ascii="Times New Roman" w:hAnsi="Times New Roman"/>
          <w:b w:val="0"/>
          <w:bCs w:val="0"/>
          <w:iCs/>
          <w:sz w:val="24"/>
          <w:szCs w:val="24"/>
        </w:rPr>
        <w:t>nizations that are exempt from f</w:t>
      </w:r>
      <w:r w:rsidRPr="005852FF">
        <w:rPr>
          <w:rFonts w:ascii="Times New Roman" w:hAnsi="Times New Roman"/>
          <w:b w:val="0"/>
          <w:bCs w:val="0"/>
          <w:iCs/>
          <w:sz w:val="24"/>
          <w:szCs w:val="24"/>
        </w:rPr>
        <w:t>ederal income tax under IRC § 501(c)(3) (including PCAs</w:t>
      </w:r>
      <w:r w:rsidR="00E568F5" w:rsidRPr="005852FF">
        <w:rPr>
          <w:rFonts w:ascii="Times New Roman" w:hAnsi="Times New Roman"/>
          <w:b w:val="0"/>
          <w:bCs w:val="0"/>
          <w:iCs/>
          <w:sz w:val="24"/>
          <w:szCs w:val="24"/>
        </w:rPr>
        <w:t>-HCCNs</w:t>
      </w:r>
      <w:r w:rsidRPr="005852FF">
        <w:rPr>
          <w:rFonts w:ascii="Times New Roman" w:hAnsi="Times New Roman"/>
          <w:b w:val="0"/>
          <w:bCs w:val="0"/>
          <w:iCs/>
          <w:sz w:val="24"/>
          <w:szCs w:val="24"/>
        </w:rPr>
        <w:t>) to engage in both direct and grassroots lobbying activities, provided that the activities do not constitute a “substantial part” of the organization’s total activities.</w:t>
      </w:r>
      <w:r w:rsidR="00CC04D1" w:rsidRPr="005852FF">
        <w:rPr>
          <w:rStyle w:val="FootnoteReference"/>
          <w:rFonts w:ascii="Times New Roman" w:hAnsi="Times New Roman"/>
          <w:b w:val="0"/>
          <w:bCs w:val="0"/>
          <w:iCs/>
          <w:sz w:val="24"/>
          <w:szCs w:val="24"/>
        </w:rPr>
        <w:footnoteReference w:id="1"/>
      </w:r>
      <w:r w:rsidRPr="005852FF">
        <w:rPr>
          <w:rFonts w:ascii="Times New Roman" w:hAnsi="Times New Roman"/>
          <w:b w:val="0"/>
          <w:bCs w:val="0"/>
          <w:iCs/>
          <w:sz w:val="24"/>
          <w:szCs w:val="24"/>
        </w:rPr>
        <w:t xml:space="preserve"> </w:t>
      </w:r>
      <w:r w:rsidR="00CC04D1" w:rsidRPr="005852FF">
        <w:rPr>
          <w:rFonts w:ascii="Times New Roman" w:hAnsi="Times New Roman"/>
          <w:b w:val="0"/>
          <w:bCs w:val="0"/>
          <w:iCs/>
          <w:sz w:val="24"/>
          <w:szCs w:val="24"/>
        </w:rPr>
        <w:t>T</w:t>
      </w:r>
      <w:r w:rsidRPr="005852FF">
        <w:rPr>
          <w:rFonts w:ascii="Times New Roman" w:hAnsi="Times New Roman"/>
          <w:b w:val="0"/>
          <w:bCs w:val="0"/>
          <w:iCs/>
          <w:sz w:val="24"/>
          <w:szCs w:val="24"/>
        </w:rPr>
        <w:t>here is no tax law limitation on the lobbying activities of a PCA</w:t>
      </w:r>
      <w:r w:rsidR="00E568F5" w:rsidRPr="005852FF">
        <w:rPr>
          <w:rFonts w:ascii="Times New Roman" w:hAnsi="Times New Roman"/>
          <w:b w:val="0"/>
          <w:bCs w:val="0"/>
          <w:iCs/>
          <w:sz w:val="24"/>
          <w:szCs w:val="24"/>
        </w:rPr>
        <w:t>-HCCN</w:t>
      </w:r>
      <w:r w:rsidRPr="005852FF">
        <w:rPr>
          <w:rFonts w:ascii="Times New Roman" w:hAnsi="Times New Roman"/>
          <w:b w:val="0"/>
          <w:bCs w:val="0"/>
          <w:iCs/>
          <w:sz w:val="24"/>
          <w:szCs w:val="24"/>
        </w:rPr>
        <w:t xml:space="preserve"> that is exempt under Section 501(c)(4) of the IRC (social welfare organizations) or Section 501(c)(6) of the IRC (trade associations and business leagues).</w:t>
      </w:r>
    </w:p>
    <w:p w:rsidR="00CD4C0D" w:rsidRPr="005852FF" w:rsidRDefault="00CD4C0D" w:rsidP="005852FF">
      <w:pPr>
        <w:pStyle w:val="Title"/>
        <w:jc w:val="both"/>
        <w:rPr>
          <w:rFonts w:ascii="Times New Roman" w:hAnsi="Times New Roman"/>
          <w:b w:val="0"/>
          <w:bCs w:val="0"/>
          <w:iCs/>
          <w:sz w:val="24"/>
          <w:szCs w:val="24"/>
        </w:rPr>
      </w:pPr>
    </w:p>
    <w:p w:rsidR="00CD4C0D" w:rsidRPr="005852FF" w:rsidRDefault="00107418" w:rsidP="005852FF">
      <w:pPr>
        <w:pStyle w:val="Title"/>
        <w:jc w:val="both"/>
        <w:rPr>
          <w:rFonts w:ascii="Times New Roman" w:hAnsi="Times New Roman"/>
          <w:b w:val="0"/>
          <w:bCs w:val="0"/>
          <w:iCs/>
          <w:sz w:val="24"/>
          <w:szCs w:val="24"/>
        </w:rPr>
      </w:pPr>
      <w:r w:rsidRPr="005852FF">
        <w:rPr>
          <w:rFonts w:ascii="Times New Roman" w:hAnsi="Times New Roman"/>
          <w:b w:val="0"/>
          <w:bCs w:val="0"/>
          <w:iCs/>
          <w:sz w:val="24"/>
          <w:szCs w:val="24"/>
        </w:rPr>
        <w:t>While f</w:t>
      </w:r>
      <w:r w:rsidR="00CD4C0D" w:rsidRPr="005852FF">
        <w:rPr>
          <w:rFonts w:ascii="Times New Roman" w:hAnsi="Times New Roman"/>
          <w:b w:val="0"/>
          <w:bCs w:val="0"/>
          <w:iCs/>
          <w:sz w:val="24"/>
          <w:szCs w:val="24"/>
        </w:rPr>
        <w:t xml:space="preserve">ederal tax law permits tax-exempt organizations to engage in a certain amount of lobbying activities, the </w:t>
      </w:r>
      <w:r w:rsidR="00CE3DFD" w:rsidRPr="005852FF">
        <w:rPr>
          <w:rFonts w:ascii="Times New Roman" w:hAnsi="Times New Roman"/>
          <w:b w:val="0"/>
          <w:bCs w:val="0"/>
          <w:iCs/>
          <w:sz w:val="24"/>
          <w:szCs w:val="24"/>
        </w:rPr>
        <w:t xml:space="preserve">uniform </w:t>
      </w:r>
      <w:r w:rsidR="00CD4C0D" w:rsidRPr="005852FF">
        <w:rPr>
          <w:rFonts w:ascii="Times New Roman" w:hAnsi="Times New Roman"/>
          <w:b w:val="0"/>
          <w:bCs w:val="0"/>
          <w:iCs/>
          <w:sz w:val="24"/>
          <w:szCs w:val="24"/>
        </w:rPr>
        <w:t xml:space="preserve">Cost Principles </w:t>
      </w:r>
      <w:r w:rsidR="00CE3DFD" w:rsidRPr="005852FF">
        <w:rPr>
          <w:rFonts w:ascii="Times New Roman" w:hAnsi="Times New Roman"/>
          <w:b w:val="0"/>
          <w:bCs w:val="0"/>
          <w:iCs/>
          <w:sz w:val="24"/>
          <w:szCs w:val="24"/>
        </w:rPr>
        <w:t>for federal awards to non-</w:t>
      </w:r>
      <w:r w:rsidR="004B1C63" w:rsidRPr="005852FF">
        <w:rPr>
          <w:rFonts w:ascii="Times New Roman" w:hAnsi="Times New Roman"/>
          <w:b w:val="0"/>
          <w:bCs w:val="0"/>
          <w:iCs/>
          <w:sz w:val="24"/>
          <w:szCs w:val="24"/>
        </w:rPr>
        <w:t>federal</w:t>
      </w:r>
      <w:r w:rsidR="00CE3DFD" w:rsidRPr="005852FF">
        <w:rPr>
          <w:rFonts w:ascii="Times New Roman" w:hAnsi="Times New Roman"/>
          <w:b w:val="0"/>
          <w:bCs w:val="0"/>
          <w:iCs/>
          <w:sz w:val="24"/>
          <w:szCs w:val="24"/>
        </w:rPr>
        <w:t xml:space="preserve"> entities</w:t>
      </w:r>
      <w:r w:rsidR="00ED3F0A" w:rsidRPr="005852FF">
        <w:rPr>
          <w:rStyle w:val="FootnoteReference"/>
          <w:rFonts w:ascii="Times New Roman" w:hAnsi="Times New Roman"/>
          <w:b w:val="0"/>
          <w:bCs w:val="0"/>
          <w:iCs/>
          <w:sz w:val="24"/>
          <w:szCs w:val="24"/>
        </w:rPr>
        <w:footnoteReference w:id="2"/>
      </w:r>
      <w:r w:rsidR="00ED3F0A" w:rsidRPr="005852FF">
        <w:rPr>
          <w:rFonts w:ascii="Times New Roman" w:hAnsi="Times New Roman"/>
          <w:b w:val="0"/>
          <w:bCs w:val="0"/>
          <w:iCs/>
          <w:sz w:val="24"/>
          <w:szCs w:val="24"/>
        </w:rPr>
        <w:t xml:space="preserve"> </w:t>
      </w:r>
      <w:r w:rsidR="00CD4C0D" w:rsidRPr="005852FF">
        <w:rPr>
          <w:rFonts w:ascii="Times New Roman" w:hAnsi="Times New Roman"/>
          <w:b w:val="0"/>
          <w:bCs w:val="0"/>
          <w:iCs/>
          <w:sz w:val="24"/>
          <w:szCs w:val="24"/>
        </w:rPr>
        <w:t>provides that “costs associated with … attempts to</w:t>
      </w:r>
      <w:r w:rsidR="00744DA6" w:rsidRPr="005852FF">
        <w:rPr>
          <w:rFonts w:ascii="Times New Roman" w:hAnsi="Times New Roman"/>
          <w:b w:val="0"/>
          <w:bCs w:val="0"/>
          <w:iCs/>
          <w:sz w:val="24"/>
          <w:szCs w:val="24"/>
        </w:rPr>
        <w:t xml:space="preserve"> influence the outcomes of any F</w:t>
      </w:r>
      <w:r w:rsidR="00CD4C0D" w:rsidRPr="005852FF">
        <w:rPr>
          <w:rFonts w:ascii="Times New Roman" w:hAnsi="Times New Roman"/>
          <w:b w:val="0"/>
          <w:bCs w:val="0"/>
          <w:iCs/>
          <w:sz w:val="24"/>
          <w:szCs w:val="24"/>
        </w:rPr>
        <w:t>ederal, State, or local referendum, initiative, or similar procedure, through in kind or cash contributions, endorsements, publicity, or similar activity” are unallowable.</w:t>
      </w:r>
      <w:r w:rsidR="00ED3F0A" w:rsidRPr="005852FF">
        <w:rPr>
          <w:rStyle w:val="FootnoteReference"/>
          <w:rFonts w:ascii="Times New Roman" w:hAnsi="Times New Roman"/>
          <w:b w:val="0"/>
          <w:bCs w:val="0"/>
          <w:iCs/>
          <w:sz w:val="24"/>
          <w:szCs w:val="24"/>
        </w:rPr>
        <w:footnoteReference w:id="3"/>
      </w:r>
      <w:r w:rsidR="00ED3F0A" w:rsidRPr="005852FF">
        <w:rPr>
          <w:rFonts w:ascii="Times New Roman" w:hAnsi="Times New Roman"/>
          <w:b w:val="0"/>
          <w:bCs w:val="0"/>
          <w:i/>
          <w:iCs/>
          <w:sz w:val="24"/>
          <w:szCs w:val="24"/>
        </w:rPr>
        <w:t xml:space="preserve"> </w:t>
      </w:r>
      <w:r w:rsidR="00CD4C0D" w:rsidRPr="005852FF">
        <w:rPr>
          <w:rFonts w:ascii="Times New Roman" w:hAnsi="Times New Roman"/>
          <w:b w:val="0"/>
          <w:bCs w:val="0"/>
          <w:iCs/>
          <w:sz w:val="24"/>
          <w:szCs w:val="24"/>
        </w:rPr>
        <w:t>Accordingly, nonpro</w:t>
      </w:r>
      <w:r w:rsidRPr="005852FF">
        <w:rPr>
          <w:rFonts w:ascii="Times New Roman" w:hAnsi="Times New Roman"/>
          <w:b w:val="0"/>
          <w:bCs w:val="0"/>
          <w:iCs/>
          <w:sz w:val="24"/>
          <w:szCs w:val="24"/>
        </w:rPr>
        <w:t>fit organizations that receive f</w:t>
      </w:r>
      <w:r w:rsidR="00CD4C0D" w:rsidRPr="005852FF">
        <w:rPr>
          <w:rFonts w:ascii="Times New Roman" w:hAnsi="Times New Roman"/>
          <w:b w:val="0"/>
          <w:bCs w:val="0"/>
          <w:iCs/>
          <w:sz w:val="24"/>
          <w:szCs w:val="24"/>
        </w:rPr>
        <w:t xml:space="preserve">ederal funds, either through </w:t>
      </w:r>
      <w:r w:rsidR="00726297" w:rsidRPr="005852FF">
        <w:rPr>
          <w:rFonts w:ascii="Times New Roman" w:hAnsi="Times New Roman"/>
          <w:b w:val="0"/>
          <w:bCs w:val="0"/>
          <w:iCs/>
          <w:sz w:val="24"/>
          <w:szCs w:val="24"/>
        </w:rPr>
        <w:t xml:space="preserve">a </w:t>
      </w:r>
      <w:r w:rsidR="00CD4C0D" w:rsidRPr="005852FF">
        <w:rPr>
          <w:rFonts w:ascii="Times New Roman" w:hAnsi="Times New Roman"/>
          <w:b w:val="0"/>
          <w:bCs w:val="0"/>
          <w:iCs/>
          <w:sz w:val="24"/>
          <w:szCs w:val="24"/>
        </w:rPr>
        <w:t>grant or cooperative agreement, may not use these funds for either direct or grassroots lobbying activities.</w:t>
      </w:r>
    </w:p>
    <w:p w:rsidR="00CD4C0D" w:rsidRPr="005852FF" w:rsidRDefault="00CD4C0D" w:rsidP="005852FF">
      <w:pPr>
        <w:pStyle w:val="Title"/>
        <w:jc w:val="both"/>
        <w:rPr>
          <w:rFonts w:ascii="Times New Roman" w:hAnsi="Times New Roman"/>
          <w:b w:val="0"/>
          <w:bCs w:val="0"/>
          <w:iCs/>
          <w:sz w:val="24"/>
          <w:szCs w:val="24"/>
        </w:rPr>
      </w:pPr>
    </w:p>
    <w:p w:rsidR="00CD4C0D" w:rsidRPr="005852FF" w:rsidRDefault="00CD4C0D" w:rsidP="005852FF">
      <w:pPr>
        <w:pStyle w:val="Title"/>
        <w:jc w:val="both"/>
        <w:rPr>
          <w:rFonts w:ascii="Times New Roman" w:hAnsi="Times New Roman"/>
          <w:b w:val="0"/>
          <w:bCs w:val="0"/>
          <w:iCs/>
          <w:sz w:val="24"/>
          <w:szCs w:val="24"/>
        </w:rPr>
      </w:pPr>
      <w:r w:rsidRPr="005852FF">
        <w:rPr>
          <w:rFonts w:ascii="Times New Roman" w:hAnsi="Times New Roman"/>
          <w:b w:val="0"/>
          <w:bCs w:val="0"/>
          <w:iCs/>
          <w:sz w:val="24"/>
          <w:szCs w:val="24"/>
        </w:rPr>
        <w:t>Additionally, the Byrd Anti-Lobbying Amendment</w:t>
      </w:r>
      <w:r w:rsidR="00726297" w:rsidRPr="005852FF">
        <w:rPr>
          <w:rStyle w:val="FootnoteReference"/>
          <w:rFonts w:ascii="Times New Roman" w:hAnsi="Times New Roman"/>
          <w:b w:val="0"/>
          <w:bCs w:val="0"/>
          <w:iCs/>
          <w:sz w:val="24"/>
          <w:szCs w:val="24"/>
        </w:rPr>
        <w:footnoteReference w:id="4"/>
      </w:r>
      <w:r w:rsidRPr="005852FF">
        <w:rPr>
          <w:rFonts w:ascii="Times New Roman" w:hAnsi="Times New Roman"/>
          <w:b w:val="0"/>
          <w:bCs w:val="0"/>
          <w:iCs/>
          <w:sz w:val="24"/>
          <w:szCs w:val="24"/>
        </w:rPr>
        <w:t xml:space="preserve"> gen</w:t>
      </w:r>
      <w:r w:rsidR="00107418" w:rsidRPr="005852FF">
        <w:rPr>
          <w:rFonts w:ascii="Times New Roman" w:hAnsi="Times New Roman"/>
          <w:b w:val="0"/>
          <w:bCs w:val="0"/>
          <w:iCs/>
          <w:sz w:val="24"/>
          <w:szCs w:val="24"/>
        </w:rPr>
        <w:t>erally prohibits recipients of f</w:t>
      </w:r>
      <w:r w:rsidRPr="005852FF">
        <w:rPr>
          <w:rFonts w:ascii="Times New Roman" w:hAnsi="Times New Roman"/>
          <w:b w:val="0"/>
          <w:bCs w:val="0"/>
          <w:iCs/>
          <w:sz w:val="24"/>
          <w:szCs w:val="24"/>
        </w:rPr>
        <w:t>ederal grants and cooperative agreements f</w:t>
      </w:r>
      <w:r w:rsidR="00107418" w:rsidRPr="005852FF">
        <w:rPr>
          <w:rFonts w:ascii="Times New Roman" w:hAnsi="Times New Roman"/>
          <w:b w:val="0"/>
          <w:bCs w:val="0"/>
          <w:iCs/>
          <w:sz w:val="24"/>
          <w:szCs w:val="24"/>
        </w:rPr>
        <w:t>rom using f</w:t>
      </w:r>
      <w:r w:rsidRPr="005852FF">
        <w:rPr>
          <w:rFonts w:ascii="Times New Roman" w:hAnsi="Times New Roman"/>
          <w:b w:val="0"/>
          <w:bCs w:val="0"/>
          <w:iCs/>
          <w:sz w:val="24"/>
          <w:szCs w:val="24"/>
        </w:rPr>
        <w:t xml:space="preserve">ederal (appropriated) funds for lobbying the Executive or Legislative Branches of the Federal Government in connection with a specific grant or cooperative agreement. </w:t>
      </w:r>
      <w:r w:rsidR="007108A5" w:rsidRPr="005852FF">
        <w:rPr>
          <w:rFonts w:ascii="Times New Roman" w:hAnsi="Times New Roman"/>
          <w:b w:val="0"/>
          <w:bCs w:val="0"/>
          <w:iCs/>
          <w:sz w:val="24"/>
          <w:szCs w:val="24"/>
        </w:rPr>
        <w:t>The Byrd Anti-Lobbying Amendment</w:t>
      </w:r>
      <w:r w:rsidRPr="005852FF">
        <w:rPr>
          <w:rFonts w:ascii="Times New Roman" w:hAnsi="Times New Roman"/>
          <w:b w:val="0"/>
          <w:bCs w:val="0"/>
          <w:iCs/>
          <w:sz w:val="24"/>
          <w:szCs w:val="24"/>
        </w:rPr>
        <w:t xml:space="preserve"> also requires that each person or enti</w:t>
      </w:r>
      <w:r w:rsidR="00744DA6" w:rsidRPr="005852FF">
        <w:rPr>
          <w:rFonts w:ascii="Times New Roman" w:hAnsi="Times New Roman"/>
          <w:b w:val="0"/>
          <w:bCs w:val="0"/>
          <w:iCs/>
          <w:sz w:val="24"/>
          <w:szCs w:val="24"/>
        </w:rPr>
        <w:t>ty that requests or receives a f</w:t>
      </w:r>
      <w:r w:rsidRPr="005852FF">
        <w:rPr>
          <w:rFonts w:ascii="Times New Roman" w:hAnsi="Times New Roman"/>
          <w:b w:val="0"/>
          <w:bCs w:val="0"/>
          <w:iCs/>
          <w:sz w:val="24"/>
          <w:szCs w:val="24"/>
        </w:rPr>
        <w:t>ederal grant or cooperative agreement exceeding $100,000 must disclos</w:t>
      </w:r>
      <w:r w:rsidR="00744DA6" w:rsidRPr="005852FF">
        <w:rPr>
          <w:rFonts w:ascii="Times New Roman" w:hAnsi="Times New Roman"/>
          <w:b w:val="0"/>
          <w:bCs w:val="0"/>
          <w:iCs/>
          <w:sz w:val="24"/>
          <w:szCs w:val="24"/>
        </w:rPr>
        <w:t>e lobbying undertaken with non-f</w:t>
      </w:r>
      <w:r w:rsidRPr="005852FF">
        <w:rPr>
          <w:rFonts w:ascii="Times New Roman" w:hAnsi="Times New Roman"/>
          <w:b w:val="0"/>
          <w:bCs w:val="0"/>
          <w:iCs/>
          <w:sz w:val="24"/>
          <w:szCs w:val="24"/>
        </w:rPr>
        <w:t>ederal (nonappropriated) funds.</w:t>
      </w:r>
    </w:p>
    <w:p w:rsidR="00AC6052" w:rsidRPr="005852FF" w:rsidRDefault="00AC6052" w:rsidP="005852FF">
      <w:pPr>
        <w:pStyle w:val="Title"/>
        <w:jc w:val="both"/>
        <w:rPr>
          <w:rFonts w:ascii="Times New Roman" w:hAnsi="Times New Roman"/>
          <w:b w:val="0"/>
          <w:bCs w:val="0"/>
          <w:iCs/>
          <w:sz w:val="24"/>
          <w:szCs w:val="24"/>
        </w:rPr>
      </w:pPr>
    </w:p>
    <w:p w:rsidR="001E4B86" w:rsidRPr="005852FF" w:rsidRDefault="000E2888" w:rsidP="005852FF">
      <w:pPr>
        <w:pStyle w:val="Title"/>
        <w:jc w:val="both"/>
        <w:rPr>
          <w:rFonts w:ascii="Times New Roman" w:hAnsi="Times New Roman"/>
          <w:b w:val="0"/>
          <w:bCs w:val="0"/>
          <w:iCs/>
          <w:sz w:val="24"/>
          <w:szCs w:val="24"/>
        </w:rPr>
      </w:pPr>
      <w:r w:rsidRPr="005852FF">
        <w:rPr>
          <w:rFonts w:ascii="Times New Roman" w:hAnsi="Times New Roman"/>
          <w:b w:val="0"/>
          <w:bCs w:val="0"/>
          <w:iCs/>
          <w:sz w:val="24"/>
          <w:szCs w:val="24"/>
        </w:rPr>
        <w:t>Finally,</w:t>
      </w:r>
      <w:r w:rsidR="008F3854" w:rsidRPr="005852FF">
        <w:rPr>
          <w:rFonts w:ascii="Times New Roman" w:hAnsi="Times New Roman"/>
          <w:b w:val="0"/>
          <w:bCs w:val="0"/>
          <w:iCs/>
          <w:sz w:val="24"/>
          <w:szCs w:val="24"/>
        </w:rPr>
        <w:t xml:space="preserve"> </w:t>
      </w:r>
      <w:r w:rsidR="004B1C63" w:rsidRPr="005852FF">
        <w:rPr>
          <w:rFonts w:ascii="Times New Roman" w:hAnsi="Times New Roman"/>
          <w:b w:val="0"/>
          <w:bCs w:val="0"/>
          <w:iCs/>
          <w:sz w:val="24"/>
          <w:szCs w:val="24"/>
        </w:rPr>
        <w:t>federal</w:t>
      </w:r>
      <w:r w:rsidR="00841DE2" w:rsidRPr="005852FF">
        <w:rPr>
          <w:rFonts w:ascii="Times New Roman" w:hAnsi="Times New Roman"/>
          <w:b w:val="0"/>
          <w:bCs w:val="0"/>
          <w:iCs/>
          <w:sz w:val="24"/>
          <w:szCs w:val="24"/>
        </w:rPr>
        <w:t xml:space="preserve"> law </w:t>
      </w:r>
      <w:r w:rsidR="00572E1C" w:rsidRPr="005852FF">
        <w:rPr>
          <w:rFonts w:ascii="Times New Roman" w:hAnsi="Times New Roman"/>
          <w:b w:val="0"/>
          <w:bCs w:val="0"/>
          <w:iCs/>
          <w:sz w:val="24"/>
          <w:szCs w:val="24"/>
        </w:rPr>
        <w:t xml:space="preserve">sometimes </w:t>
      </w:r>
      <w:r w:rsidR="004B1C63" w:rsidRPr="005852FF">
        <w:rPr>
          <w:rFonts w:ascii="Times New Roman" w:hAnsi="Times New Roman"/>
          <w:b w:val="0"/>
          <w:bCs w:val="0"/>
          <w:iCs/>
          <w:sz w:val="24"/>
          <w:szCs w:val="24"/>
        </w:rPr>
        <w:t>contain</w:t>
      </w:r>
      <w:r w:rsidR="00572E1C" w:rsidRPr="005852FF">
        <w:rPr>
          <w:rFonts w:ascii="Times New Roman" w:hAnsi="Times New Roman"/>
          <w:b w:val="0"/>
          <w:bCs w:val="0"/>
          <w:iCs/>
          <w:sz w:val="24"/>
          <w:szCs w:val="24"/>
        </w:rPr>
        <w:t>s</w:t>
      </w:r>
      <w:r w:rsidR="00841DE2" w:rsidRPr="005852FF">
        <w:rPr>
          <w:rFonts w:ascii="Times New Roman" w:hAnsi="Times New Roman"/>
          <w:b w:val="0"/>
          <w:bCs w:val="0"/>
          <w:iCs/>
          <w:sz w:val="24"/>
          <w:szCs w:val="24"/>
        </w:rPr>
        <w:t xml:space="preserve"> general </w:t>
      </w:r>
      <w:r w:rsidR="004B1C63" w:rsidRPr="005852FF">
        <w:rPr>
          <w:rFonts w:ascii="Times New Roman" w:hAnsi="Times New Roman"/>
          <w:b w:val="0"/>
          <w:bCs w:val="0"/>
          <w:iCs/>
          <w:sz w:val="24"/>
          <w:szCs w:val="24"/>
        </w:rPr>
        <w:t>limitations</w:t>
      </w:r>
      <w:r w:rsidR="00841DE2" w:rsidRPr="005852FF">
        <w:rPr>
          <w:rFonts w:ascii="Times New Roman" w:hAnsi="Times New Roman"/>
          <w:b w:val="0"/>
          <w:bCs w:val="0"/>
          <w:iCs/>
          <w:sz w:val="24"/>
          <w:szCs w:val="24"/>
        </w:rPr>
        <w:t xml:space="preserve"> on the use of </w:t>
      </w:r>
      <w:r w:rsidR="004B1C63" w:rsidRPr="005852FF">
        <w:rPr>
          <w:rFonts w:ascii="Times New Roman" w:hAnsi="Times New Roman"/>
          <w:b w:val="0"/>
          <w:bCs w:val="0"/>
          <w:iCs/>
          <w:sz w:val="24"/>
          <w:szCs w:val="24"/>
        </w:rPr>
        <w:t>appropriated</w:t>
      </w:r>
      <w:r w:rsidR="00841DE2" w:rsidRPr="005852FF">
        <w:rPr>
          <w:rFonts w:ascii="Times New Roman" w:hAnsi="Times New Roman"/>
          <w:b w:val="0"/>
          <w:bCs w:val="0"/>
          <w:iCs/>
          <w:sz w:val="24"/>
          <w:szCs w:val="24"/>
        </w:rPr>
        <w:t xml:space="preserve"> </w:t>
      </w:r>
      <w:r w:rsidR="004B1C63" w:rsidRPr="005852FF">
        <w:rPr>
          <w:rFonts w:ascii="Times New Roman" w:hAnsi="Times New Roman"/>
          <w:b w:val="0"/>
          <w:bCs w:val="0"/>
          <w:iCs/>
          <w:sz w:val="24"/>
          <w:szCs w:val="24"/>
        </w:rPr>
        <w:t>funds</w:t>
      </w:r>
      <w:r w:rsidR="00841DE2" w:rsidRPr="005852FF">
        <w:rPr>
          <w:rFonts w:ascii="Times New Roman" w:hAnsi="Times New Roman"/>
          <w:b w:val="0"/>
          <w:bCs w:val="0"/>
          <w:iCs/>
          <w:sz w:val="24"/>
          <w:szCs w:val="24"/>
        </w:rPr>
        <w:t xml:space="preserve"> for lobbying </w:t>
      </w:r>
      <w:r w:rsidR="004B1C63" w:rsidRPr="005852FF">
        <w:rPr>
          <w:rFonts w:ascii="Times New Roman" w:hAnsi="Times New Roman"/>
          <w:b w:val="0"/>
          <w:bCs w:val="0"/>
          <w:iCs/>
          <w:sz w:val="24"/>
          <w:szCs w:val="24"/>
        </w:rPr>
        <w:t>activities</w:t>
      </w:r>
      <w:r w:rsidR="00841DE2" w:rsidRPr="005852FF">
        <w:rPr>
          <w:rFonts w:ascii="Times New Roman" w:hAnsi="Times New Roman"/>
          <w:b w:val="0"/>
          <w:bCs w:val="0"/>
          <w:iCs/>
          <w:sz w:val="24"/>
          <w:szCs w:val="24"/>
        </w:rPr>
        <w:t xml:space="preserve">. </w:t>
      </w:r>
      <w:r w:rsidR="004B1C63" w:rsidRPr="005852FF">
        <w:rPr>
          <w:rFonts w:ascii="Times New Roman" w:hAnsi="Times New Roman"/>
          <w:b w:val="0"/>
          <w:bCs w:val="0"/>
          <w:iCs/>
          <w:sz w:val="24"/>
          <w:szCs w:val="24"/>
        </w:rPr>
        <w:t>For example, the FY 2015 appropriation for the Department of Health and Human Services provides</w:t>
      </w:r>
      <w:r w:rsidR="00572E1C" w:rsidRPr="005852FF">
        <w:rPr>
          <w:rFonts w:ascii="Times New Roman" w:hAnsi="Times New Roman"/>
          <w:b w:val="0"/>
          <w:bCs w:val="0"/>
          <w:iCs/>
          <w:sz w:val="24"/>
          <w:szCs w:val="24"/>
        </w:rPr>
        <w:t>,</w:t>
      </w:r>
      <w:r w:rsidR="004B1C63" w:rsidRPr="005852FF">
        <w:rPr>
          <w:rFonts w:ascii="Times New Roman" w:hAnsi="Times New Roman"/>
          <w:b w:val="0"/>
          <w:bCs w:val="0"/>
          <w:iCs/>
          <w:sz w:val="24"/>
          <w:szCs w:val="24"/>
        </w:rPr>
        <w:t xml:space="preserve"> in part:</w:t>
      </w:r>
    </w:p>
    <w:p w:rsidR="001E4B86" w:rsidRPr="005852FF" w:rsidRDefault="001E4B86" w:rsidP="005852FF">
      <w:pPr>
        <w:pStyle w:val="Title"/>
        <w:jc w:val="both"/>
        <w:rPr>
          <w:rFonts w:ascii="Times New Roman" w:hAnsi="Times New Roman"/>
          <w:b w:val="0"/>
          <w:bCs w:val="0"/>
          <w:iCs/>
          <w:sz w:val="24"/>
          <w:szCs w:val="24"/>
        </w:rPr>
      </w:pPr>
    </w:p>
    <w:p w:rsidR="004B1C63" w:rsidRPr="005852FF" w:rsidRDefault="001E4B86" w:rsidP="005852FF">
      <w:pPr>
        <w:pStyle w:val="Title"/>
        <w:ind w:left="720" w:right="1080"/>
        <w:jc w:val="both"/>
        <w:rPr>
          <w:rFonts w:ascii="Times New Roman" w:hAnsi="Times New Roman"/>
          <w:b w:val="0"/>
          <w:bCs w:val="0"/>
          <w:iCs/>
          <w:sz w:val="24"/>
          <w:szCs w:val="24"/>
        </w:rPr>
      </w:pPr>
      <w:r w:rsidRPr="005852FF">
        <w:rPr>
          <w:rFonts w:ascii="Times New Roman" w:hAnsi="Times New Roman"/>
          <w:b w:val="0"/>
          <w:bCs w:val="0"/>
          <w:iCs/>
          <w:sz w:val="24"/>
          <w:szCs w:val="24"/>
        </w:rPr>
        <w:lastRenderedPageBreak/>
        <w:t xml:space="preserve">No part of any appropriation contained in this Act . . </w:t>
      </w:r>
      <w:r w:rsidR="00572E1C" w:rsidRPr="005852FF">
        <w:rPr>
          <w:rFonts w:ascii="Times New Roman" w:hAnsi="Times New Roman"/>
          <w:b w:val="0"/>
          <w:bCs w:val="0"/>
          <w:iCs/>
          <w:sz w:val="24"/>
          <w:szCs w:val="24"/>
        </w:rPr>
        <w:t xml:space="preserve">. </w:t>
      </w:r>
      <w:r w:rsidRPr="005852FF">
        <w:rPr>
          <w:rFonts w:ascii="Times New Roman" w:hAnsi="Times New Roman"/>
          <w:b w:val="0"/>
          <w:bCs w:val="0"/>
          <w:iCs/>
          <w:sz w:val="24"/>
          <w:szCs w:val="24"/>
        </w:rPr>
        <w:t>shall be u</w:t>
      </w:r>
      <w:r w:rsidR="00794C10" w:rsidRPr="005852FF">
        <w:rPr>
          <w:rFonts w:ascii="Times New Roman" w:hAnsi="Times New Roman"/>
          <w:b w:val="0"/>
          <w:bCs w:val="0"/>
          <w:iCs/>
          <w:sz w:val="24"/>
          <w:szCs w:val="24"/>
        </w:rPr>
        <w:t>s</w:t>
      </w:r>
      <w:r w:rsidRPr="005852FF">
        <w:rPr>
          <w:rFonts w:ascii="Times New Roman" w:hAnsi="Times New Roman"/>
          <w:b w:val="0"/>
          <w:bCs w:val="0"/>
          <w:iCs/>
          <w:sz w:val="24"/>
          <w:szCs w:val="24"/>
        </w:rPr>
        <w:t>ed to pay the salary or expenses of any grant or con</w:t>
      </w:r>
      <w:bookmarkStart w:id="0" w:name="_GoBack"/>
      <w:bookmarkEnd w:id="0"/>
      <w:r w:rsidRPr="005852FF">
        <w:rPr>
          <w:rFonts w:ascii="Times New Roman" w:hAnsi="Times New Roman"/>
          <w:b w:val="0"/>
          <w:bCs w:val="0"/>
          <w:iCs/>
          <w:sz w:val="24"/>
          <w:szCs w:val="24"/>
        </w:rPr>
        <w:t xml:space="preserve">tract recipient, or agent acting for such recipient, related to any activity designed </w:t>
      </w:r>
      <w:r w:rsidR="004B1C63" w:rsidRPr="005852FF">
        <w:rPr>
          <w:rFonts w:ascii="Times New Roman" w:hAnsi="Times New Roman"/>
          <w:b w:val="0"/>
          <w:bCs w:val="0"/>
          <w:iCs/>
          <w:sz w:val="24"/>
          <w:szCs w:val="24"/>
        </w:rPr>
        <w:t>to influence</w:t>
      </w:r>
      <w:r w:rsidR="005D270D" w:rsidRPr="005852FF">
        <w:rPr>
          <w:rFonts w:ascii="Times New Roman" w:hAnsi="Times New Roman"/>
          <w:b w:val="0"/>
          <w:bCs w:val="0"/>
          <w:iCs/>
          <w:sz w:val="24"/>
          <w:szCs w:val="24"/>
        </w:rPr>
        <w:t xml:space="preserve"> the enactment of </w:t>
      </w:r>
      <w:r w:rsidR="004B1C63" w:rsidRPr="005852FF">
        <w:rPr>
          <w:rFonts w:ascii="Times New Roman" w:hAnsi="Times New Roman"/>
          <w:b w:val="0"/>
          <w:bCs w:val="0"/>
          <w:iCs/>
          <w:sz w:val="24"/>
          <w:szCs w:val="24"/>
        </w:rPr>
        <w:t>legislation</w:t>
      </w:r>
      <w:r w:rsidR="005D270D" w:rsidRPr="005852FF">
        <w:rPr>
          <w:rFonts w:ascii="Times New Roman" w:hAnsi="Times New Roman"/>
          <w:b w:val="0"/>
          <w:bCs w:val="0"/>
          <w:iCs/>
          <w:sz w:val="24"/>
          <w:szCs w:val="24"/>
        </w:rPr>
        <w:t xml:space="preserve">, appropriations, regulation, administrative action, or </w:t>
      </w:r>
      <w:r w:rsidR="004B1C63" w:rsidRPr="005852FF">
        <w:rPr>
          <w:rFonts w:ascii="Times New Roman" w:hAnsi="Times New Roman"/>
          <w:b w:val="0"/>
          <w:bCs w:val="0"/>
          <w:iCs/>
          <w:sz w:val="24"/>
          <w:szCs w:val="24"/>
        </w:rPr>
        <w:t>Executive</w:t>
      </w:r>
      <w:r w:rsidR="005D270D" w:rsidRPr="005852FF">
        <w:rPr>
          <w:rFonts w:ascii="Times New Roman" w:hAnsi="Times New Roman"/>
          <w:b w:val="0"/>
          <w:bCs w:val="0"/>
          <w:iCs/>
          <w:sz w:val="24"/>
          <w:szCs w:val="24"/>
        </w:rPr>
        <w:t xml:space="preserve"> </w:t>
      </w:r>
      <w:r w:rsidR="00B55F89" w:rsidRPr="005852FF">
        <w:rPr>
          <w:rFonts w:ascii="Times New Roman" w:hAnsi="Times New Roman"/>
          <w:b w:val="0"/>
          <w:bCs w:val="0"/>
          <w:iCs/>
          <w:sz w:val="24"/>
          <w:szCs w:val="24"/>
        </w:rPr>
        <w:t>o</w:t>
      </w:r>
      <w:r w:rsidR="005D270D" w:rsidRPr="005852FF">
        <w:rPr>
          <w:rFonts w:ascii="Times New Roman" w:hAnsi="Times New Roman"/>
          <w:b w:val="0"/>
          <w:bCs w:val="0"/>
          <w:iCs/>
          <w:sz w:val="24"/>
          <w:szCs w:val="24"/>
        </w:rPr>
        <w:t xml:space="preserve">rder </w:t>
      </w:r>
      <w:r w:rsidR="004B1C63" w:rsidRPr="005852FF">
        <w:rPr>
          <w:rFonts w:ascii="Times New Roman" w:hAnsi="Times New Roman"/>
          <w:b w:val="0"/>
          <w:bCs w:val="0"/>
          <w:iCs/>
          <w:sz w:val="24"/>
          <w:szCs w:val="24"/>
        </w:rPr>
        <w:t>proposed</w:t>
      </w:r>
      <w:r w:rsidR="005D270D" w:rsidRPr="005852FF">
        <w:rPr>
          <w:rFonts w:ascii="Times New Roman" w:hAnsi="Times New Roman"/>
          <w:b w:val="0"/>
          <w:bCs w:val="0"/>
          <w:iCs/>
          <w:sz w:val="24"/>
          <w:szCs w:val="24"/>
        </w:rPr>
        <w:t xml:space="preserve"> or pending before the Congress or any State </w:t>
      </w:r>
      <w:r w:rsidR="004B1C63" w:rsidRPr="005852FF">
        <w:rPr>
          <w:rFonts w:ascii="Times New Roman" w:hAnsi="Times New Roman"/>
          <w:b w:val="0"/>
          <w:bCs w:val="0"/>
          <w:iCs/>
          <w:sz w:val="24"/>
          <w:szCs w:val="24"/>
        </w:rPr>
        <w:t>government</w:t>
      </w:r>
      <w:r w:rsidR="005D270D" w:rsidRPr="005852FF">
        <w:rPr>
          <w:rFonts w:ascii="Times New Roman" w:hAnsi="Times New Roman"/>
          <w:b w:val="0"/>
          <w:bCs w:val="0"/>
          <w:iCs/>
          <w:sz w:val="24"/>
          <w:szCs w:val="24"/>
        </w:rPr>
        <w:t>, State legislature</w:t>
      </w:r>
      <w:r w:rsidR="00105E4A" w:rsidRPr="005852FF">
        <w:rPr>
          <w:rFonts w:ascii="Times New Roman" w:hAnsi="Times New Roman"/>
          <w:b w:val="0"/>
          <w:bCs w:val="0"/>
          <w:iCs/>
          <w:sz w:val="24"/>
          <w:szCs w:val="24"/>
        </w:rPr>
        <w:t xml:space="preserve"> or local legislature or legislative body, other </w:t>
      </w:r>
      <w:r w:rsidR="004B1C63" w:rsidRPr="005852FF">
        <w:rPr>
          <w:rFonts w:ascii="Times New Roman" w:hAnsi="Times New Roman"/>
          <w:b w:val="0"/>
          <w:bCs w:val="0"/>
          <w:iCs/>
          <w:sz w:val="24"/>
          <w:szCs w:val="24"/>
        </w:rPr>
        <w:t>than</w:t>
      </w:r>
      <w:r w:rsidR="00105E4A" w:rsidRPr="005852FF">
        <w:rPr>
          <w:rFonts w:ascii="Times New Roman" w:hAnsi="Times New Roman"/>
          <w:b w:val="0"/>
          <w:bCs w:val="0"/>
          <w:iCs/>
          <w:sz w:val="24"/>
          <w:szCs w:val="24"/>
        </w:rPr>
        <w:t xml:space="preserve"> for normal and recognized executive-legislative </w:t>
      </w:r>
      <w:r w:rsidR="004B1C63" w:rsidRPr="005852FF">
        <w:rPr>
          <w:rFonts w:ascii="Times New Roman" w:hAnsi="Times New Roman"/>
          <w:b w:val="0"/>
          <w:bCs w:val="0"/>
          <w:iCs/>
          <w:sz w:val="24"/>
          <w:szCs w:val="24"/>
        </w:rPr>
        <w:t>relationships</w:t>
      </w:r>
      <w:r w:rsidR="00105E4A" w:rsidRPr="005852FF">
        <w:rPr>
          <w:rFonts w:ascii="Times New Roman" w:hAnsi="Times New Roman"/>
          <w:b w:val="0"/>
          <w:bCs w:val="0"/>
          <w:iCs/>
          <w:sz w:val="24"/>
          <w:szCs w:val="24"/>
        </w:rPr>
        <w:t>. . . .</w:t>
      </w:r>
      <w:r w:rsidR="00794C10" w:rsidRPr="005852FF">
        <w:rPr>
          <w:rStyle w:val="FootnoteReference"/>
          <w:rFonts w:ascii="Times New Roman" w:hAnsi="Times New Roman"/>
          <w:b w:val="0"/>
          <w:bCs w:val="0"/>
          <w:iCs/>
          <w:sz w:val="24"/>
          <w:szCs w:val="24"/>
        </w:rPr>
        <w:footnoteReference w:id="5"/>
      </w:r>
    </w:p>
    <w:p w:rsidR="004B1C63" w:rsidRPr="005852FF" w:rsidRDefault="004B1C63" w:rsidP="005852FF">
      <w:pPr>
        <w:pStyle w:val="Title"/>
        <w:ind w:firstLine="720"/>
        <w:jc w:val="both"/>
        <w:rPr>
          <w:rFonts w:ascii="Times New Roman" w:hAnsi="Times New Roman"/>
          <w:b w:val="0"/>
          <w:bCs w:val="0"/>
          <w:iCs/>
          <w:sz w:val="24"/>
          <w:szCs w:val="24"/>
        </w:rPr>
      </w:pPr>
    </w:p>
    <w:p w:rsidR="000E2888" w:rsidRPr="005852FF" w:rsidRDefault="004B1C63" w:rsidP="005852FF">
      <w:pPr>
        <w:pStyle w:val="Title"/>
        <w:jc w:val="both"/>
        <w:rPr>
          <w:rFonts w:ascii="Times New Roman" w:hAnsi="Times New Roman"/>
          <w:b w:val="0"/>
          <w:bCs w:val="0"/>
          <w:iCs/>
          <w:sz w:val="24"/>
          <w:szCs w:val="24"/>
        </w:rPr>
      </w:pPr>
      <w:r w:rsidRPr="005852FF">
        <w:rPr>
          <w:rFonts w:ascii="Times New Roman" w:hAnsi="Times New Roman"/>
          <w:b w:val="0"/>
          <w:bCs w:val="0"/>
          <w:iCs/>
          <w:sz w:val="24"/>
          <w:szCs w:val="24"/>
        </w:rPr>
        <w:t>Similar</w:t>
      </w:r>
      <w:r w:rsidR="00105E4A" w:rsidRPr="005852FF">
        <w:rPr>
          <w:rFonts w:ascii="Times New Roman" w:hAnsi="Times New Roman"/>
          <w:b w:val="0"/>
          <w:bCs w:val="0"/>
          <w:iCs/>
          <w:sz w:val="24"/>
          <w:szCs w:val="24"/>
        </w:rPr>
        <w:t xml:space="preserve"> </w:t>
      </w:r>
      <w:r w:rsidRPr="005852FF">
        <w:rPr>
          <w:rFonts w:ascii="Times New Roman" w:hAnsi="Times New Roman"/>
          <w:b w:val="0"/>
          <w:bCs w:val="0"/>
          <w:iCs/>
          <w:sz w:val="24"/>
          <w:szCs w:val="24"/>
        </w:rPr>
        <w:t>provisions</w:t>
      </w:r>
      <w:r w:rsidR="00CD6CF8" w:rsidRPr="005852FF">
        <w:rPr>
          <w:rFonts w:ascii="Times New Roman" w:hAnsi="Times New Roman"/>
          <w:b w:val="0"/>
          <w:bCs w:val="0"/>
          <w:iCs/>
          <w:sz w:val="24"/>
          <w:szCs w:val="24"/>
        </w:rPr>
        <w:t xml:space="preserve"> have been in D</w:t>
      </w:r>
      <w:r w:rsidR="00420943" w:rsidRPr="005852FF">
        <w:rPr>
          <w:rFonts w:ascii="Times New Roman" w:hAnsi="Times New Roman"/>
          <w:b w:val="0"/>
          <w:bCs w:val="0"/>
          <w:iCs/>
          <w:sz w:val="24"/>
          <w:szCs w:val="24"/>
        </w:rPr>
        <w:t>epartment of Health and Human Services</w:t>
      </w:r>
      <w:r w:rsidRPr="005852FF">
        <w:rPr>
          <w:rFonts w:ascii="Times New Roman" w:hAnsi="Times New Roman"/>
          <w:b w:val="0"/>
          <w:bCs w:val="0"/>
          <w:iCs/>
          <w:sz w:val="24"/>
          <w:szCs w:val="24"/>
        </w:rPr>
        <w:t xml:space="preserve"> appropriations</w:t>
      </w:r>
      <w:r w:rsidR="00CD6CF8" w:rsidRPr="005852FF">
        <w:rPr>
          <w:rFonts w:ascii="Times New Roman" w:hAnsi="Times New Roman"/>
          <w:b w:val="0"/>
          <w:bCs w:val="0"/>
          <w:iCs/>
          <w:sz w:val="24"/>
          <w:szCs w:val="24"/>
        </w:rPr>
        <w:t xml:space="preserve"> </w:t>
      </w:r>
      <w:r w:rsidRPr="005852FF">
        <w:rPr>
          <w:rFonts w:ascii="Times New Roman" w:hAnsi="Times New Roman"/>
          <w:b w:val="0"/>
          <w:bCs w:val="0"/>
          <w:iCs/>
          <w:sz w:val="24"/>
          <w:szCs w:val="24"/>
        </w:rPr>
        <w:t>legislation</w:t>
      </w:r>
      <w:r w:rsidR="00CD6CF8" w:rsidRPr="005852FF">
        <w:rPr>
          <w:rFonts w:ascii="Times New Roman" w:hAnsi="Times New Roman"/>
          <w:b w:val="0"/>
          <w:bCs w:val="0"/>
          <w:iCs/>
          <w:sz w:val="24"/>
          <w:szCs w:val="24"/>
        </w:rPr>
        <w:t xml:space="preserve"> </w:t>
      </w:r>
      <w:r w:rsidRPr="005852FF">
        <w:rPr>
          <w:rFonts w:ascii="Times New Roman" w:hAnsi="Times New Roman"/>
          <w:b w:val="0"/>
          <w:bCs w:val="0"/>
          <w:iCs/>
          <w:sz w:val="24"/>
          <w:szCs w:val="24"/>
        </w:rPr>
        <w:t>since</w:t>
      </w:r>
      <w:r w:rsidR="00CD6CF8" w:rsidRPr="005852FF">
        <w:rPr>
          <w:rFonts w:ascii="Times New Roman" w:hAnsi="Times New Roman"/>
          <w:b w:val="0"/>
          <w:bCs w:val="0"/>
          <w:iCs/>
          <w:sz w:val="24"/>
          <w:szCs w:val="24"/>
        </w:rPr>
        <w:t xml:space="preserve"> FY 2012</w:t>
      </w:r>
    </w:p>
    <w:p w:rsidR="00247B45" w:rsidRPr="005852FF" w:rsidRDefault="00247B45" w:rsidP="005852FF">
      <w:pPr>
        <w:pStyle w:val="Title"/>
        <w:jc w:val="both"/>
        <w:rPr>
          <w:rFonts w:ascii="Times New Roman" w:hAnsi="Times New Roman"/>
          <w:b w:val="0"/>
          <w:bCs w:val="0"/>
          <w:iCs/>
          <w:sz w:val="24"/>
          <w:szCs w:val="24"/>
        </w:rPr>
      </w:pPr>
    </w:p>
    <w:p w:rsidR="00CD4C0D" w:rsidRPr="005852FF" w:rsidRDefault="00CD4C0D" w:rsidP="005852FF">
      <w:pPr>
        <w:pStyle w:val="Title"/>
        <w:jc w:val="both"/>
        <w:rPr>
          <w:rFonts w:ascii="Times New Roman" w:hAnsi="Times New Roman"/>
          <w:b w:val="0"/>
          <w:bCs w:val="0"/>
          <w:iCs/>
          <w:sz w:val="24"/>
          <w:szCs w:val="24"/>
        </w:rPr>
      </w:pPr>
      <w:r w:rsidRPr="005852FF">
        <w:rPr>
          <w:rFonts w:ascii="Times New Roman" w:hAnsi="Times New Roman"/>
          <w:b w:val="0"/>
          <w:bCs w:val="0"/>
          <w:iCs/>
          <w:sz w:val="24"/>
          <w:szCs w:val="24"/>
          <w:u w:val="single"/>
        </w:rPr>
        <w:t>Political Campaign Activities</w:t>
      </w:r>
      <w:r w:rsidRPr="005852FF">
        <w:rPr>
          <w:rFonts w:ascii="Times New Roman" w:hAnsi="Times New Roman"/>
          <w:b w:val="0"/>
          <w:bCs w:val="0"/>
          <w:iCs/>
          <w:sz w:val="24"/>
          <w:szCs w:val="24"/>
        </w:rPr>
        <w:tab/>
      </w:r>
    </w:p>
    <w:p w:rsidR="00CD4C0D" w:rsidRPr="005852FF" w:rsidRDefault="00CD4C0D" w:rsidP="005852FF">
      <w:pPr>
        <w:pStyle w:val="Title"/>
        <w:jc w:val="both"/>
        <w:rPr>
          <w:rFonts w:ascii="Times New Roman" w:hAnsi="Times New Roman"/>
          <w:b w:val="0"/>
          <w:bCs w:val="0"/>
          <w:iCs/>
          <w:sz w:val="24"/>
          <w:szCs w:val="24"/>
        </w:rPr>
      </w:pPr>
    </w:p>
    <w:p w:rsidR="00CD4C0D" w:rsidRPr="005852FF" w:rsidRDefault="00107418" w:rsidP="005852FF">
      <w:pPr>
        <w:pStyle w:val="Title"/>
        <w:jc w:val="both"/>
        <w:rPr>
          <w:rFonts w:ascii="Times New Roman" w:hAnsi="Times New Roman"/>
          <w:b w:val="0"/>
          <w:bCs w:val="0"/>
          <w:iCs/>
          <w:sz w:val="24"/>
          <w:szCs w:val="24"/>
        </w:rPr>
      </w:pPr>
      <w:r w:rsidRPr="005852FF">
        <w:rPr>
          <w:rFonts w:ascii="Times New Roman" w:hAnsi="Times New Roman"/>
          <w:b w:val="0"/>
          <w:bCs w:val="0"/>
          <w:iCs/>
          <w:sz w:val="24"/>
          <w:szCs w:val="24"/>
        </w:rPr>
        <w:t>Unlike lobbying activities, f</w:t>
      </w:r>
      <w:r w:rsidR="00CD4C0D" w:rsidRPr="005852FF">
        <w:rPr>
          <w:rFonts w:ascii="Times New Roman" w:hAnsi="Times New Roman"/>
          <w:b w:val="0"/>
          <w:bCs w:val="0"/>
          <w:iCs/>
          <w:sz w:val="24"/>
          <w:szCs w:val="24"/>
        </w:rPr>
        <w:t>ederal tax law absolutely prohibits organizations that are exempt under Section 501(c)(3) from engaging in political campaign activities, defined as intervening in any election for public office or attempting t</w:t>
      </w:r>
      <w:r w:rsidRPr="005852FF">
        <w:rPr>
          <w:rFonts w:ascii="Times New Roman" w:hAnsi="Times New Roman"/>
          <w:b w:val="0"/>
          <w:bCs w:val="0"/>
          <w:iCs/>
          <w:sz w:val="24"/>
          <w:szCs w:val="24"/>
        </w:rPr>
        <w:t>o influence the outcome of any federal, s</w:t>
      </w:r>
      <w:r w:rsidR="00CD4C0D" w:rsidRPr="005852FF">
        <w:rPr>
          <w:rFonts w:ascii="Times New Roman" w:hAnsi="Times New Roman"/>
          <w:b w:val="0"/>
          <w:bCs w:val="0"/>
          <w:iCs/>
          <w:sz w:val="24"/>
          <w:szCs w:val="24"/>
        </w:rPr>
        <w:t>tate or local election, referendum, initiative or similar procedure.</w:t>
      </w:r>
      <w:r w:rsidR="00420943" w:rsidRPr="005852FF">
        <w:rPr>
          <w:rStyle w:val="FootnoteReference"/>
          <w:rFonts w:ascii="Times New Roman" w:hAnsi="Times New Roman"/>
          <w:b w:val="0"/>
          <w:bCs w:val="0"/>
          <w:iCs/>
          <w:sz w:val="24"/>
          <w:szCs w:val="24"/>
        </w:rPr>
        <w:footnoteReference w:id="6"/>
      </w:r>
      <w:r w:rsidR="00CD4C0D" w:rsidRPr="005852FF">
        <w:rPr>
          <w:rFonts w:ascii="Times New Roman" w:hAnsi="Times New Roman"/>
          <w:b w:val="0"/>
          <w:bCs w:val="0"/>
          <w:iCs/>
          <w:sz w:val="24"/>
          <w:szCs w:val="24"/>
        </w:rPr>
        <w:t xml:space="preserve"> While there is no express prohibition on IRC Section 501(c)(4) and (c)(6) organizations engaging in political campaign activity, an organization that does so will  incur a tax, at the highest corporate rate, on the  amount it  expends for political campaign activity. Moreover, expenditures in support of or in </w:t>
      </w:r>
      <w:r w:rsidRPr="005852FF">
        <w:rPr>
          <w:rFonts w:ascii="Times New Roman" w:hAnsi="Times New Roman"/>
          <w:b w:val="0"/>
          <w:bCs w:val="0"/>
          <w:iCs/>
          <w:sz w:val="24"/>
          <w:szCs w:val="24"/>
        </w:rPr>
        <w:t>opposition to a candidate in a f</w:t>
      </w:r>
      <w:r w:rsidR="00CD4C0D" w:rsidRPr="005852FF">
        <w:rPr>
          <w:rFonts w:ascii="Times New Roman" w:hAnsi="Times New Roman"/>
          <w:b w:val="0"/>
          <w:bCs w:val="0"/>
          <w:iCs/>
          <w:sz w:val="24"/>
          <w:szCs w:val="24"/>
        </w:rPr>
        <w:t>ederal election (i.e., President, Senate, House of Representatives) are prohibited under the Federal Electi</w:t>
      </w:r>
      <w:r w:rsidR="00AF79AA" w:rsidRPr="005852FF">
        <w:rPr>
          <w:rFonts w:ascii="Times New Roman" w:hAnsi="Times New Roman"/>
          <w:b w:val="0"/>
          <w:bCs w:val="0"/>
          <w:iCs/>
          <w:sz w:val="24"/>
          <w:szCs w:val="24"/>
        </w:rPr>
        <w:t>on Campaign Act</w:t>
      </w:r>
      <w:r w:rsidR="00CD4C0D" w:rsidRPr="005852FF">
        <w:rPr>
          <w:rFonts w:ascii="Times New Roman" w:hAnsi="Times New Roman"/>
          <w:b w:val="0"/>
          <w:bCs w:val="0"/>
          <w:iCs/>
          <w:sz w:val="24"/>
          <w:szCs w:val="24"/>
        </w:rPr>
        <w:t>.</w:t>
      </w:r>
      <w:r w:rsidR="00A66D93" w:rsidRPr="005852FF">
        <w:rPr>
          <w:rStyle w:val="FootnoteReference"/>
          <w:rFonts w:ascii="Times New Roman" w:hAnsi="Times New Roman"/>
          <w:b w:val="0"/>
          <w:bCs w:val="0"/>
          <w:iCs/>
          <w:sz w:val="24"/>
          <w:szCs w:val="24"/>
        </w:rPr>
        <w:footnoteReference w:id="7"/>
      </w:r>
    </w:p>
    <w:p w:rsidR="00CD4C0D" w:rsidRPr="005852FF" w:rsidRDefault="00CD4C0D" w:rsidP="005852FF">
      <w:pPr>
        <w:pStyle w:val="Title"/>
        <w:jc w:val="both"/>
        <w:rPr>
          <w:rFonts w:ascii="Times New Roman" w:hAnsi="Times New Roman"/>
          <w:b w:val="0"/>
          <w:bCs w:val="0"/>
          <w:iCs/>
          <w:sz w:val="24"/>
          <w:szCs w:val="24"/>
        </w:rPr>
      </w:pPr>
      <w:r w:rsidRPr="005852FF">
        <w:rPr>
          <w:rFonts w:ascii="Times New Roman" w:hAnsi="Times New Roman"/>
          <w:b w:val="0"/>
          <w:bCs w:val="0"/>
          <w:iCs/>
          <w:sz w:val="24"/>
          <w:szCs w:val="24"/>
        </w:rPr>
        <w:tab/>
      </w:r>
    </w:p>
    <w:p w:rsidR="00CD4C0D" w:rsidRPr="005852FF" w:rsidRDefault="00744DA6" w:rsidP="005852FF">
      <w:pPr>
        <w:pStyle w:val="Title"/>
        <w:jc w:val="both"/>
        <w:rPr>
          <w:rFonts w:ascii="Times New Roman" w:hAnsi="Times New Roman"/>
          <w:bCs w:val="0"/>
          <w:iCs/>
          <w:sz w:val="24"/>
          <w:szCs w:val="24"/>
        </w:rPr>
      </w:pPr>
      <w:r w:rsidRPr="005852FF">
        <w:rPr>
          <w:rFonts w:ascii="Times New Roman" w:hAnsi="Times New Roman"/>
          <w:bCs w:val="0"/>
          <w:iCs/>
          <w:sz w:val="24"/>
          <w:szCs w:val="24"/>
        </w:rPr>
        <w:t>Advice and Recommendation</w:t>
      </w:r>
      <w:r w:rsidR="00CD4C0D" w:rsidRPr="005852FF">
        <w:rPr>
          <w:rFonts w:ascii="Times New Roman" w:hAnsi="Times New Roman"/>
          <w:bCs w:val="0"/>
          <w:iCs/>
          <w:sz w:val="24"/>
          <w:szCs w:val="24"/>
        </w:rPr>
        <w:t>s</w:t>
      </w:r>
      <w:r w:rsidRPr="005852FF">
        <w:rPr>
          <w:rStyle w:val="FootnoteReference"/>
          <w:rFonts w:ascii="Times New Roman" w:hAnsi="Times New Roman"/>
          <w:bCs w:val="0"/>
          <w:iCs/>
          <w:sz w:val="24"/>
          <w:szCs w:val="24"/>
        </w:rPr>
        <w:footnoteReference w:id="8"/>
      </w:r>
    </w:p>
    <w:p w:rsidR="00CD4C0D" w:rsidRPr="005852FF" w:rsidRDefault="00CD4C0D" w:rsidP="005852FF">
      <w:pPr>
        <w:pStyle w:val="Title"/>
        <w:jc w:val="both"/>
        <w:rPr>
          <w:rFonts w:ascii="Times New Roman" w:hAnsi="Times New Roman"/>
          <w:b w:val="0"/>
          <w:bCs w:val="0"/>
          <w:iCs/>
          <w:sz w:val="24"/>
          <w:szCs w:val="24"/>
        </w:rPr>
      </w:pPr>
    </w:p>
    <w:p w:rsidR="00CD4C0D" w:rsidRPr="005852FF" w:rsidRDefault="00107418" w:rsidP="005852FF">
      <w:pPr>
        <w:pStyle w:val="Title"/>
        <w:jc w:val="both"/>
        <w:rPr>
          <w:rFonts w:ascii="Times New Roman" w:hAnsi="Times New Roman"/>
          <w:b w:val="0"/>
          <w:bCs w:val="0"/>
          <w:iCs/>
          <w:sz w:val="24"/>
          <w:szCs w:val="24"/>
        </w:rPr>
      </w:pPr>
      <w:r w:rsidRPr="005852FF">
        <w:rPr>
          <w:rFonts w:ascii="Times New Roman" w:hAnsi="Times New Roman"/>
          <w:b w:val="0"/>
          <w:bCs w:val="0"/>
          <w:iCs/>
          <w:sz w:val="24"/>
          <w:szCs w:val="24"/>
        </w:rPr>
        <w:t>Because f</w:t>
      </w:r>
      <w:r w:rsidR="00CD4C0D" w:rsidRPr="005852FF">
        <w:rPr>
          <w:rFonts w:ascii="Times New Roman" w:hAnsi="Times New Roman"/>
          <w:b w:val="0"/>
          <w:bCs w:val="0"/>
          <w:iCs/>
          <w:sz w:val="24"/>
          <w:szCs w:val="24"/>
        </w:rPr>
        <w:t>ederal tax law limits the amount of lobbying activities in which a PCA</w:t>
      </w:r>
      <w:r w:rsidR="00CF210E" w:rsidRPr="005852FF">
        <w:rPr>
          <w:rFonts w:ascii="Times New Roman" w:hAnsi="Times New Roman"/>
          <w:b w:val="0"/>
          <w:bCs w:val="0"/>
          <w:iCs/>
          <w:sz w:val="24"/>
          <w:szCs w:val="24"/>
        </w:rPr>
        <w:t>-HCCN</w:t>
      </w:r>
      <w:r w:rsidR="00CD4C0D" w:rsidRPr="005852FF">
        <w:rPr>
          <w:rFonts w:ascii="Times New Roman" w:hAnsi="Times New Roman"/>
          <w:b w:val="0"/>
          <w:bCs w:val="0"/>
          <w:iCs/>
          <w:sz w:val="24"/>
          <w:szCs w:val="24"/>
        </w:rPr>
        <w:t xml:space="preserve"> that is exempt under Section 501(c)(3) may engage, it is advisable that such PCAs</w:t>
      </w:r>
      <w:r w:rsidR="00CF210E" w:rsidRPr="005852FF">
        <w:rPr>
          <w:rFonts w:ascii="Times New Roman" w:hAnsi="Times New Roman"/>
          <w:b w:val="0"/>
          <w:bCs w:val="0"/>
          <w:iCs/>
          <w:sz w:val="24"/>
          <w:szCs w:val="24"/>
        </w:rPr>
        <w:t>-HCCNs</w:t>
      </w:r>
      <w:r w:rsidR="00CD4C0D" w:rsidRPr="005852FF">
        <w:rPr>
          <w:rFonts w:ascii="Times New Roman" w:hAnsi="Times New Roman"/>
          <w:b w:val="0"/>
          <w:bCs w:val="0"/>
          <w:iCs/>
          <w:sz w:val="24"/>
          <w:szCs w:val="24"/>
        </w:rPr>
        <w:t xml:space="preserve"> carefully track and document that neither the PCA</w:t>
      </w:r>
      <w:r w:rsidR="00CF210E" w:rsidRPr="005852FF">
        <w:rPr>
          <w:rFonts w:ascii="Times New Roman" w:hAnsi="Times New Roman"/>
          <w:b w:val="0"/>
          <w:bCs w:val="0"/>
          <w:iCs/>
          <w:sz w:val="24"/>
          <w:szCs w:val="24"/>
        </w:rPr>
        <w:t>-HCCN</w:t>
      </w:r>
      <w:r w:rsidR="00CD4C0D" w:rsidRPr="005852FF">
        <w:rPr>
          <w:rFonts w:ascii="Times New Roman" w:hAnsi="Times New Roman"/>
          <w:b w:val="0"/>
          <w:bCs w:val="0"/>
          <w:iCs/>
          <w:sz w:val="24"/>
          <w:szCs w:val="24"/>
        </w:rPr>
        <w:t>, nor any of its affiliates, employees or agents acting on behalf of the PCA</w:t>
      </w:r>
      <w:r w:rsidR="00CF210E" w:rsidRPr="005852FF">
        <w:rPr>
          <w:rFonts w:ascii="Times New Roman" w:hAnsi="Times New Roman"/>
          <w:b w:val="0"/>
          <w:bCs w:val="0"/>
          <w:iCs/>
          <w:sz w:val="24"/>
          <w:szCs w:val="24"/>
        </w:rPr>
        <w:t>-HCCN</w:t>
      </w:r>
      <w:r w:rsidR="00CD4C0D" w:rsidRPr="005852FF">
        <w:rPr>
          <w:rFonts w:ascii="Times New Roman" w:hAnsi="Times New Roman"/>
          <w:b w:val="0"/>
          <w:bCs w:val="0"/>
          <w:iCs/>
          <w:sz w:val="24"/>
          <w:szCs w:val="24"/>
        </w:rPr>
        <w:t>, engages in or devotes a substantial part of PCA</w:t>
      </w:r>
      <w:r w:rsidR="00E568F5" w:rsidRPr="005852FF">
        <w:rPr>
          <w:rFonts w:ascii="Times New Roman" w:hAnsi="Times New Roman"/>
          <w:b w:val="0"/>
          <w:bCs w:val="0"/>
          <w:iCs/>
          <w:sz w:val="24"/>
          <w:szCs w:val="24"/>
        </w:rPr>
        <w:t>-HCCN</w:t>
      </w:r>
      <w:r w:rsidR="00CD4C0D" w:rsidRPr="005852FF">
        <w:rPr>
          <w:rFonts w:ascii="Times New Roman" w:hAnsi="Times New Roman"/>
          <w:b w:val="0"/>
          <w:bCs w:val="0"/>
          <w:iCs/>
          <w:sz w:val="24"/>
          <w:szCs w:val="24"/>
        </w:rPr>
        <w:t xml:space="preserve"> activities or resources to lobbying activities. Additionally, Section 501(c)(3) PCAs</w:t>
      </w:r>
      <w:r w:rsidR="00CF210E" w:rsidRPr="005852FF">
        <w:rPr>
          <w:rFonts w:ascii="Times New Roman" w:hAnsi="Times New Roman"/>
          <w:b w:val="0"/>
          <w:bCs w:val="0"/>
          <w:iCs/>
          <w:sz w:val="24"/>
          <w:szCs w:val="24"/>
        </w:rPr>
        <w:t>-HCCNs</w:t>
      </w:r>
      <w:r w:rsidR="00CD4C0D" w:rsidRPr="005852FF">
        <w:rPr>
          <w:rFonts w:ascii="Times New Roman" w:hAnsi="Times New Roman"/>
          <w:b w:val="0"/>
          <w:bCs w:val="0"/>
          <w:iCs/>
          <w:sz w:val="24"/>
          <w:szCs w:val="24"/>
        </w:rPr>
        <w:t xml:space="preserve"> should have in place procedures to ensure that </w:t>
      </w:r>
      <w:r w:rsidR="00CD4C0D" w:rsidRPr="005852FF">
        <w:rPr>
          <w:rFonts w:ascii="Times New Roman" w:hAnsi="Times New Roman"/>
          <w:b w:val="0"/>
          <w:sz w:val="24"/>
          <w:szCs w:val="24"/>
        </w:rPr>
        <w:t>neither the PCA</w:t>
      </w:r>
      <w:r w:rsidR="00A43AA4" w:rsidRPr="005852FF">
        <w:rPr>
          <w:rFonts w:ascii="Times New Roman" w:hAnsi="Times New Roman"/>
          <w:b w:val="0"/>
          <w:sz w:val="24"/>
          <w:szCs w:val="24"/>
        </w:rPr>
        <w:t>-HCCN</w:t>
      </w:r>
      <w:r w:rsidR="00CD4C0D" w:rsidRPr="005852FF">
        <w:rPr>
          <w:rFonts w:ascii="Times New Roman" w:hAnsi="Times New Roman"/>
          <w:b w:val="0"/>
          <w:sz w:val="24"/>
          <w:szCs w:val="24"/>
        </w:rPr>
        <w:t xml:space="preserve"> nor any of its affiliates, employees or agents acting on behalf of the PCA</w:t>
      </w:r>
      <w:r w:rsidR="00A43AA4" w:rsidRPr="005852FF">
        <w:rPr>
          <w:rFonts w:ascii="Times New Roman" w:hAnsi="Times New Roman"/>
          <w:b w:val="0"/>
          <w:sz w:val="24"/>
          <w:szCs w:val="24"/>
        </w:rPr>
        <w:t>-HCCN</w:t>
      </w:r>
      <w:r w:rsidR="00CD4C0D" w:rsidRPr="005852FF">
        <w:rPr>
          <w:rFonts w:ascii="Times New Roman" w:hAnsi="Times New Roman"/>
          <w:b w:val="0"/>
          <w:sz w:val="24"/>
          <w:szCs w:val="24"/>
        </w:rPr>
        <w:t>, endorse or oppose any candidate for elective public off</w:t>
      </w:r>
      <w:r w:rsidRPr="005852FF">
        <w:rPr>
          <w:rFonts w:ascii="Times New Roman" w:hAnsi="Times New Roman"/>
          <w:b w:val="0"/>
          <w:sz w:val="24"/>
          <w:szCs w:val="24"/>
        </w:rPr>
        <w:t>ice, or in any way, participate</w:t>
      </w:r>
      <w:r w:rsidR="00CD4C0D" w:rsidRPr="005852FF">
        <w:rPr>
          <w:rFonts w:ascii="Times New Roman" w:hAnsi="Times New Roman"/>
          <w:b w:val="0"/>
          <w:sz w:val="24"/>
          <w:szCs w:val="24"/>
        </w:rPr>
        <w:t xml:space="preserve"> in any political campaign.</w:t>
      </w:r>
      <w:r w:rsidR="00CD4C0D" w:rsidRPr="005852FF">
        <w:rPr>
          <w:rFonts w:ascii="Times New Roman" w:hAnsi="Times New Roman"/>
          <w:b w:val="0"/>
          <w:bCs w:val="0"/>
          <w:iCs/>
          <w:sz w:val="24"/>
          <w:szCs w:val="24"/>
        </w:rPr>
        <w:t xml:space="preserve"> Non-compliance with either of these limitations/prohibitions could jeopardize a PCA</w:t>
      </w:r>
      <w:r w:rsidR="00A43AA4" w:rsidRPr="005852FF">
        <w:rPr>
          <w:rFonts w:ascii="Times New Roman" w:hAnsi="Times New Roman"/>
          <w:b w:val="0"/>
          <w:bCs w:val="0"/>
          <w:iCs/>
          <w:sz w:val="24"/>
          <w:szCs w:val="24"/>
        </w:rPr>
        <w:t>-HCCN</w:t>
      </w:r>
      <w:r w:rsidR="00CD4C0D" w:rsidRPr="005852FF">
        <w:rPr>
          <w:rFonts w:ascii="Times New Roman" w:hAnsi="Times New Roman"/>
          <w:b w:val="0"/>
          <w:bCs w:val="0"/>
          <w:iCs/>
          <w:sz w:val="24"/>
          <w:szCs w:val="24"/>
        </w:rPr>
        <w:t>’s tax-exempt status.</w:t>
      </w:r>
    </w:p>
    <w:p w:rsidR="00CD4C0D" w:rsidRPr="005852FF" w:rsidRDefault="00CD4C0D" w:rsidP="005852FF">
      <w:pPr>
        <w:pStyle w:val="Title"/>
        <w:jc w:val="both"/>
        <w:rPr>
          <w:rFonts w:ascii="Times New Roman" w:hAnsi="Times New Roman"/>
          <w:b w:val="0"/>
          <w:bCs w:val="0"/>
          <w:iCs/>
          <w:sz w:val="24"/>
          <w:szCs w:val="24"/>
        </w:rPr>
      </w:pPr>
    </w:p>
    <w:p w:rsidR="00CD4C0D" w:rsidRPr="005852FF" w:rsidRDefault="00CD4C0D" w:rsidP="005852FF">
      <w:pPr>
        <w:pStyle w:val="Title"/>
        <w:jc w:val="both"/>
        <w:rPr>
          <w:rFonts w:ascii="Times New Roman" w:hAnsi="Times New Roman"/>
          <w:b w:val="0"/>
          <w:bCs w:val="0"/>
          <w:iCs/>
          <w:sz w:val="24"/>
          <w:szCs w:val="24"/>
        </w:rPr>
      </w:pPr>
      <w:r w:rsidRPr="005852FF">
        <w:rPr>
          <w:rFonts w:ascii="Times New Roman" w:hAnsi="Times New Roman"/>
          <w:b w:val="0"/>
          <w:bCs w:val="0"/>
          <w:iCs/>
          <w:sz w:val="24"/>
          <w:szCs w:val="24"/>
        </w:rPr>
        <w:lastRenderedPageBreak/>
        <w:t>PCAs</w:t>
      </w:r>
      <w:r w:rsidR="00A43AA4" w:rsidRPr="005852FF">
        <w:rPr>
          <w:rFonts w:ascii="Times New Roman" w:hAnsi="Times New Roman"/>
          <w:b w:val="0"/>
          <w:bCs w:val="0"/>
          <w:iCs/>
          <w:sz w:val="24"/>
          <w:szCs w:val="24"/>
        </w:rPr>
        <w:t>-HCCNs</w:t>
      </w:r>
      <w:r w:rsidRPr="005852FF">
        <w:rPr>
          <w:rFonts w:ascii="Times New Roman" w:hAnsi="Times New Roman"/>
          <w:b w:val="0"/>
          <w:bCs w:val="0"/>
          <w:iCs/>
          <w:sz w:val="24"/>
          <w:szCs w:val="24"/>
        </w:rPr>
        <w:t xml:space="preserve"> that are tax exempt under IRC Section 501(c)(4) and (c)(6) may establish a separate segregated fund, commonly referred to as a  political action committee</w:t>
      </w:r>
      <w:r w:rsidR="00DB1F04" w:rsidRPr="005852FF">
        <w:rPr>
          <w:rFonts w:ascii="Times New Roman" w:hAnsi="Times New Roman"/>
          <w:b w:val="0"/>
          <w:bCs w:val="0"/>
          <w:iCs/>
          <w:sz w:val="24"/>
          <w:szCs w:val="24"/>
        </w:rPr>
        <w:t xml:space="preserve"> (PAC)</w:t>
      </w:r>
      <w:r w:rsidRPr="005852FF">
        <w:rPr>
          <w:rFonts w:ascii="Times New Roman" w:hAnsi="Times New Roman"/>
          <w:b w:val="0"/>
          <w:bCs w:val="0"/>
          <w:iCs/>
          <w:sz w:val="24"/>
          <w:szCs w:val="24"/>
        </w:rPr>
        <w:t>,  to carry on political acti</w:t>
      </w:r>
      <w:r w:rsidR="00107418" w:rsidRPr="005852FF">
        <w:rPr>
          <w:rFonts w:ascii="Times New Roman" w:hAnsi="Times New Roman"/>
          <w:b w:val="0"/>
          <w:bCs w:val="0"/>
          <w:iCs/>
          <w:sz w:val="24"/>
          <w:szCs w:val="24"/>
        </w:rPr>
        <w:t>vities at the f</w:t>
      </w:r>
      <w:r w:rsidRPr="005852FF">
        <w:rPr>
          <w:rFonts w:ascii="Times New Roman" w:hAnsi="Times New Roman"/>
          <w:b w:val="0"/>
          <w:bCs w:val="0"/>
          <w:iCs/>
          <w:sz w:val="24"/>
          <w:szCs w:val="24"/>
        </w:rPr>
        <w:t>ederal level, subject to rules established by the Federal Electio</w:t>
      </w:r>
      <w:r w:rsidR="00107418" w:rsidRPr="005852FF">
        <w:rPr>
          <w:rFonts w:ascii="Times New Roman" w:hAnsi="Times New Roman"/>
          <w:b w:val="0"/>
          <w:bCs w:val="0"/>
          <w:iCs/>
          <w:sz w:val="24"/>
          <w:szCs w:val="24"/>
        </w:rPr>
        <w:t>n Commission. Note that s</w:t>
      </w:r>
      <w:r w:rsidRPr="005852FF">
        <w:rPr>
          <w:rFonts w:ascii="Times New Roman" w:hAnsi="Times New Roman"/>
          <w:b w:val="0"/>
          <w:bCs w:val="0"/>
          <w:iCs/>
          <w:sz w:val="24"/>
          <w:szCs w:val="24"/>
        </w:rPr>
        <w:t>tate law may regulate the political activities of corporations and other business organizations for election purposes.</w:t>
      </w:r>
    </w:p>
    <w:p w:rsidR="00CD4C0D" w:rsidRPr="005852FF" w:rsidRDefault="00CD4C0D" w:rsidP="005852FF">
      <w:pPr>
        <w:pStyle w:val="Title"/>
        <w:jc w:val="both"/>
        <w:rPr>
          <w:rFonts w:ascii="Times New Roman" w:hAnsi="Times New Roman"/>
          <w:b w:val="0"/>
          <w:bCs w:val="0"/>
          <w:iCs/>
          <w:sz w:val="24"/>
          <w:szCs w:val="24"/>
        </w:rPr>
      </w:pPr>
    </w:p>
    <w:p w:rsidR="00CD4C0D" w:rsidRPr="005852FF" w:rsidRDefault="00CD4C0D" w:rsidP="005852FF">
      <w:pPr>
        <w:pStyle w:val="Title"/>
        <w:jc w:val="both"/>
        <w:rPr>
          <w:rFonts w:ascii="Times New Roman" w:hAnsi="Times New Roman"/>
          <w:b w:val="0"/>
          <w:bCs w:val="0"/>
          <w:iCs/>
          <w:sz w:val="24"/>
          <w:szCs w:val="24"/>
        </w:rPr>
      </w:pPr>
      <w:r w:rsidRPr="005852FF">
        <w:rPr>
          <w:rFonts w:ascii="Times New Roman" w:hAnsi="Times New Roman"/>
          <w:b w:val="0"/>
          <w:bCs w:val="0"/>
          <w:iCs/>
          <w:sz w:val="24"/>
          <w:szCs w:val="24"/>
        </w:rPr>
        <w:t xml:space="preserve">One of the more </w:t>
      </w:r>
      <w:r w:rsidR="00107418" w:rsidRPr="005852FF">
        <w:rPr>
          <w:rFonts w:ascii="Times New Roman" w:hAnsi="Times New Roman"/>
          <w:b w:val="0"/>
          <w:bCs w:val="0"/>
          <w:iCs/>
          <w:sz w:val="24"/>
          <w:szCs w:val="24"/>
        </w:rPr>
        <w:t>difficult issues regarding the f</w:t>
      </w:r>
      <w:r w:rsidRPr="005852FF">
        <w:rPr>
          <w:rFonts w:ascii="Times New Roman" w:hAnsi="Times New Roman"/>
          <w:b w:val="0"/>
          <w:bCs w:val="0"/>
          <w:iCs/>
          <w:sz w:val="24"/>
          <w:szCs w:val="24"/>
        </w:rPr>
        <w:t xml:space="preserve">ederal tax limitation on lobbying activities is the definition of “substantial.” </w:t>
      </w:r>
      <w:r w:rsidR="00DB1F04" w:rsidRPr="005852FF">
        <w:rPr>
          <w:rFonts w:ascii="Times New Roman" w:hAnsi="Times New Roman"/>
          <w:b w:val="0"/>
          <w:bCs w:val="0"/>
          <w:iCs/>
          <w:sz w:val="24"/>
          <w:szCs w:val="24"/>
        </w:rPr>
        <w:t>T</w:t>
      </w:r>
      <w:r w:rsidRPr="005852FF">
        <w:rPr>
          <w:rFonts w:ascii="Times New Roman" w:hAnsi="Times New Roman"/>
          <w:b w:val="0"/>
          <w:bCs w:val="0"/>
          <w:iCs/>
          <w:sz w:val="24"/>
          <w:szCs w:val="24"/>
        </w:rPr>
        <w:t xml:space="preserve">here is no precise test for determining whether lobbying activities are a substantial part of an organization’s activities. </w:t>
      </w:r>
      <w:r w:rsidR="00DB1F04" w:rsidRPr="005852FF">
        <w:rPr>
          <w:rFonts w:ascii="Times New Roman" w:hAnsi="Times New Roman"/>
          <w:b w:val="0"/>
          <w:bCs w:val="0"/>
          <w:iCs/>
          <w:sz w:val="24"/>
          <w:szCs w:val="24"/>
        </w:rPr>
        <w:t>O</w:t>
      </w:r>
      <w:r w:rsidRPr="005852FF">
        <w:rPr>
          <w:rFonts w:ascii="Times New Roman" w:hAnsi="Times New Roman"/>
          <w:b w:val="0"/>
          <w:bCs w:val="0"/>
          <w:iCs/>
          <w:sz w:val="24"/>
          <w:szCs w:val="24"/>
        </w:rPr>
        <w:t>rganizations, such as Section 501(c)(3)</w:t>
      </w:r>
      <w:r w:rsidR="00107418" w:rsidRPr="005852FF">
        <w:rPr>
          <w:rFonts w:ascii="Times New Roman" w:hAnsi="Times New Roman"/>
          <w:b w:val="0"/>
          <w:bCs w:val="0"/>
          <w:iCs/>
          <w:sz w:val="24"/>
          <w:szCs w:val="24"/>
        </w:rPr>
        <w:t xml:space="preserve"> </w:t>
      </w:r>
      <w:r w:rsidRPr="005852FF">
        <w:rPr>
          <w:rFonts w:ascii="Times New Roman" w:hAnsi="Times New Roman"/>
          <w:b w:val="0"/>
          <w:bCs w:val="0"/>
          <w:iCs/>
          <w:sz w:val="24"/>
          <w:szCs w:val="24"/>
        </w:rPr>
        <w:t>PCAs</w:t>
      </w:r>
      <w:r w:rsidR="00DB1F04" w:rsidRPr="005852FF">
        <w:rPr>
          <w:rFonts w:ascii="Times New Roman" w:hAnsi="Times New Roman"/>
          <w:b w:val="0"/>
          <w:bCs w:val="0"/>
          <w:iCs/>
          <w:sz w:val="24"/>
          <w:szCs w:val="24"/>
        </w:rPr>
        <w:t>-HCCNs</w:t>
      </w:r>
      <w:r w:rsidRPr="005852FF">
        <w:rPr>
          <w:rFonts w:ascii="Times New Roman" w:hAnsi="Times New Roman"/>
          <w:b w:val="0"/>
          <w:bCs w:val="0"/>
          <w:iCs/>
          <w:sz w:val="24"/>
          <w:szCs w:val="24"/>
        </w:rPr>
        <w:t>, that engage in a significant amount of lobbying activity should consider whether to elect to have their lobbying activities measured by the “expenditure test” under Section 501(h) of the IRC. Under this test, only the expenditure of funds for lobbying activities count for the purposes of measuring the organization’s allowable lobbying. The IRC rules define clearly what kind of activities are and are not considered lobbying and provide ceilings on what can be spent on lobbying activities based on the organization’s total expenditures, thereby providing a degree of certainty not found in the traditional “substantial part” test.</w:t>
      </w:r>
    </w:p>
    <w:p w:rsidR="00CD4C0D" w:rsidRPr="005852FF" w:rsidRDefault="00CD4C0D" w:rsidP="005852FF">
      <w:pPr>
        <w:pStyle w:val="Title"/>
        <w:jc w:val="both"/>
        <w:rPr>
          <w:rFonts w:ascii="Times New Roman" w:hAnsi="Times New Roman"/>
          <w:b w:val="0"/>
          <w:bCs w:val="0"/>
          <w:iCs/>
          <w:sz w:val="24"/>
          <w:szCs w:val="24"/>
        </w:rPr>
      </w:pPr>
    </w:p>
    <w:p w:rsidR="00CD4C0D" w:rsidRPr="005852FF" w:rsidRDefault="00CD4C0D" w:rsidP="005852FF">
      <w:pPr>
        <w:pStyle w:val="Title"/>
        <w:jc w:val="both"/>
        <w:rPr>
          <w:rFonts w:ascii="Times New Roman" w:hAnsi="Times New Roman"/>
          <w:b w:val="0"/>
          <w:bCs w:val="0"/>
          <w:iCs/>
          <w:sz w:val="24"/>
          <w:szCs w:val="24"/>
        </w:rPr>
      </w:pPr>
      <w:r w:rsidRPr="005852FF">
        <w:rPr>
          <w:rFonts w:ascii="Times New Roman" w:hAnsi="Times New Roman"/>
          <w:b w:val="0"/>
          <w:bCs w:val="0"/>
          <w:iCs/>
          <w:sz w:val="24"/>
          <w:szCs w:val="24"/>
        </w:rPr>
        <w:t>In o</w:t>
      </w:r>
      <w:r w:rsidR="00107418" w:rsidRPr="005852FF">
        <w:rPr>
          <w:rFonts w:ascii="Times New Roman" w:hAnsi="Times New Roman"/>
          <w:b w:val="0"/>
          <w:bCs w:val="0"/>
          <w:iCs/>
          <w:sz w:val="24"/>
          <w:szCs w:val="24"/>
        </w:rPr>
        <w:t>rder to ensure compliance with f</w:t>
      </w:r>
      <w:r w:rsidRPr="005852FF">
        <w:rPr>
          <w:rFonts w:ascii="Times New Roman" w:hAnsi="Times New Roman"/>
          <w:b w:val="0"/>
          <w:bCs w:val="0"/>
          <w:iCs/>
          <w:sz w:val="24"/>
          <w:szCs w:val="24"/>
        </w:rPr>
        <w:t>ederal cost principles, all PCAs</w:t>
      </w:r>
      <w:r w:rsidR="005F6AC1" w:rsidRPr="005852FF">
        <w:rPr>
          <w:rFonts w:ascii="Times New Roman" w:hAnsi="Times New Roman"/>
          <w:b w:val="0"/>
          <w:bCs w:val="0"/>
          <w:iCs/>
          <w:sz w:val="24"/>
          <w:szCs w:val="24"/>
        </w:rPr>
        <w:t>-HCCNs</w:t>
      </w:r>
      <w:r w:rsidRPr="005852FF">
        <w:rPr>
          <w:rFonts w:ascii="Times New Roman" w:hAnsi="Times New Roman"/>
          <w:b w:val="0"/>
          <w:bCs w:val="0"/>
          <w:iCs/>
          <w:sz w:val="24"/>
          <w:szCs w:val="24"/>
        </w:rPr>
        <w:t xml:space="preserve">  should consider taking affirmative action to document that lobbying activities are supported solely </w:t>
      </w:r>
      <w:r w:rsidR="00107418" w:rsidRPr="005852FF">
        <w:rPr>
          <w:rFonts w:ascii="Times New Roman" w:hAnsi="Times New Roman"/>
          <w:b w:val="0"/>
          <w:bCs w:val="0"/>
          <w:iCs/>
          <w:sz w:val="24"/>
          <w:szCs w:val="24"/>
        </w:rPr>
        <w:t>by non-f</w:t>
      </w:r>
      <w:r w:rsidRPr="005852FF">
        <w:rPr>
          <w:rFonts w:ascii="Times New Roman" w:hAnsi="Times New Roman"/>
          <w:b w:val="0"/>
          <w:bCs w:val="0"/>
          <w:iCs/>
          <w:sz w:val="24"/>
          <w:szCs w:val="24"/>
        </w:rPr>
        <w:t xml:space="preserve">ederal resources, including revenues unrelated </w:t>
      </w:r>
      <w:r w:rsidR="00107418" w:rsidRPr="005852FF">
        <w:rPr>
          <w:rFonts w:ascii="Times New Roman" w:hAnsi="Times New Roman"/>
          <w:b w:val="0"/>
          <w:bCs w:val="0"/>
          <w:iCs/>
          <w:sz w:val="24"/>
          <w:szCs w:val="24"/>
        </w:rPr>
        <w:t>to the activities supported by f</w:t>
      </w:r>
      <w:r w:rsidRPr="005852FF">
        <w:rPr>
          <w:rFonts w:ascii="Times New Roman" w:hAnsi="Times New Roman"/>
          <w:b w:val="0"/>
          <w:bCs w:val="0"/>
          <w:iCs/>
          <w:sz w:val="24"/>
          <w:szCs w:val="24"/>
        </w:rPr>
        <w:t>ederal grant funds, unrestricted donations, investment income, and  program income. At a minimum, non-compliance could result in the disallowance of the costs of such activities. Further, a violation could trigger further investigation of the PCA</w:t>
      </w:r>
      <w:r w:rsidR="005F6AC1" w:rsidRPr="005852FF">
        <w:rPr>
          <w:rFonts w:ascii="Times New Roman" w:hAnsi="Times New Roman"/>
          <w:b w:val="0"/>
          <w:bCs w:val="0"/>
          <w:iCs/>
          <w:sz w:val="24"/>
          <w:szCs w:val="24"/>
        </w:rPr>
        <w:t>-HCCN</w:t>
      </w:r>
      <w:r w:rsidRPr="005852FF">
        <w:rPr>
          <w:rFonts w:ascii="Times New Roman" w:hAnsi="Times New Roman"/>
          <w:b w:val="0"/>
          <w:bCs w:val="0"/>
          <w:iCs/>
          <w:sz w:val="24"/>
          <w:szCs w:val="24"/>
        </w:rPr>
        <w:t>, as well as other punitive measures.</w:t>
      </w:r>
    </w:p>
    <w:p w:rsidR="00CD4C0D" w:rsidRPr="005852FF" w:rsidRDefault="00CD4C0D" w:rsidP="005852FF">
      <w:pPr>
        <w:pStyle w:val="Title"/>
        <w:ind w:firstLine="720"/>
        <w:jc w:val="both"/>
        <w:rPr>
          <w:rFonts w:ascii="Times New Roman" w:hAnsi="Times New Roman"/>
          <w:b w:val="0"/>
          <w:bCs w:val="0"/>
          <w:iCs/>
          <w:sz w:val="24"/>
          <w:szCs w:val="24"/>
        </w:rPr>
      </w:pPr>
    </w:p>
    <w:p w:rsidR="00CD4C0D" w:rsidRPr="005852FF" w:rsidRDefault="00CD4C0D" w:rsidP="005852FF">
      <w:pPr>
        <w:pStyle w:val="Title"/>
        <w:jc w:val="both"/>
        <w:rPr>
          <w:rFonts w:ascii="Times New Roman" w:hAnsi="Times New Roman"/>
          <w:b w:val="0"/>
          <w:bCs w:val="0"/>
          <w:iCs/>
          <w:sz w:val="24"/>
          <w:szCs w:val="24"/>
        </w:rPr>
      </w:pPr>
      <w:r w:rsidRPr="005852FF">
        <w:rPr>
          <w:rFonts w:ascii="Times New Roman" w:hAnsi="Times New Roman"/>
          <w:b w:val="0"/>
          <w:bCs w:val="0"/>
          <w:iCs/>
          <w:sz w:val="24"/>
          <w:szCs w:val="24"/>
        </w:rPr>
        <w:t xml:space="preserve">Finally, it </w:t>
      </w:r>
      <w:r w:rsidR="00DF20EC" w:rsidRPr="005852FF">
        <w:rPr>
          <w:rFonts w:ascii="Times New Roman" w:hAnsi="Times New Roman"/>
          <w:b w:val="0"/>
          <w:bCs w:val="0"/>
          <w:iCs/>
          <w:sz w:val="24"/>
          <w:szCs w:val="24"/>
        </w:rPr>
        <w:t>is also important to note that s</w:t>
      </w:r>
      <w:r w:rsidRPr="005852FF">
        <w:rPr>
          <w:rFonts w:ascii="Times New Roman" w:hAnsi="Times New Roman"/>
          <w:b w:val="0"/>
          <w:bCs w:val="0"/>
          <w:iCs/>
          <w:sz w:val="24"/>
          <w:szCs w:val="24"/>
        </w:rPr>
        <w:t>tate and/or private funding awards may include restrictions regarding lobbying activities, and, as such, should be reviewed prior to engaging in any lobbying activities.</w:t>
      </w:r>
    </w:p>
    <w:p w:rsidR="00796705" w:rsidRPr="005852FF" w:rsidRDefault="00796705" w:rsidP="005852FF">
      <w:pPr>
        <w:pStyle w:val="Title"/>
        <w:jc w:val="both"/>
        <w:rPr>
          <w:rFonts w:ascii="Times New Roman" w:hAnsi="Times New Roman"/>
          <w:bCs w:val="0"/>
          <w:iCs/>
          <w:sz w:val="24"/>
          <w:szCs w:val="24"/>
        </w:rPr>
      </w:pPr>
    </w:p>
    <w:p w:rsidR="00796705" w:rsidRPr="005852FF" w:rsidRDefault="00455C1E" w:rsidP="005852FF">
      <w:pPr>
        <w:pStyle w:val="Title"/>
        <w:numPr>
          <w:ilvl w:val="0"/>
          <w:numId w:val="1"/>
        </w:numPr>
        <w:ind w:left="1080"/>
        <w:jc w:val="both"/>
        <w:rPr>
          <w:rFonts w:ascii="Times New Roman" w:hAnsi="Times New Roman"/>
          <w:b w:val="0"/>
          <w:bCs w:val="0"/>
          <w:iCs/>
          <w:sz w:val="24"/>
          <w:szCs w:val="24"/>
        </w:rPr>
      </w:pPr>
      <w:hyperlink r:id="rId9" w:history="1">
        <w:r w:rsidR="00796705" w:rsidRPr="005852FF">
          <w:rPr>
            <w:rStyle w:val="Hyperlink"/>
            <w:rFonts w:ascii="Times New Roman" w:hAnsi="Times New Roman"/>
            <w:b w:val="0"/>
            <w:bCs w:val="0"/>
            <w:iCs/>
            <w:sz w:val="24"/>
            <w:szCs w:val="24"/>
          </w:rPr>
          <w:t>Lobbying and political campaign activities: Sample policy and procedure</w:t>
        </w:r>
      </w:hyperlink>
    </w:p>
    <w:sectPr w:rsidR="00796705" w:rsidRPr="005852FF" w:rsidSect="005852FF">
      <w:headerReference w:type="default" r:id="rId10"/>
      <w:footerReference w:type="default" r:id="rId11"/>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39" w:rsidRDefault="00FB5F39" w:rsidP="00FB5F39">
      <w:r>
        <w:separator/>
      </w:r>
    </w:p>
  </w:endnote>
  <w:endnote w:type="continuationSeparator" w:id="0">
    <w:p w:rsidR="00FB5F39" w:rsidRDefault="00FB5F39" w:rsidP="00FB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39" w:rsidRPr="006B59DD" w:rsidRDefault="00FB5F39" w:rsidP="00FB5F39">
    <w:pPr>
      <w:pBdr>
        <w:bottom w:val="single" w:sz="12" w:space="0" w:color="auto"/>
      </w:pBdr>
      <w:rPr>
        <w:rFonts w:eastAsia="Calibri"/>
        <w:bCs/>
        <w:sz w:val="20"/>
        <w:szCs w:val="20"/>
      </w:rPr>
    </w:pPr>
  </w:p>
  <w:p w:rsidR="00FB5F39" w:rsidRPr="006B59DD" w:rsidRDefault="00FB5F39" w:rsidP="00FB5F39">
    <w:pPr>
      <w:tabs>
        <w:tab w:val="left" w:pos="2340"/>
      </w:tabs>
      <w:jc w:val="center"/>
      <w:rPr>
        <w:rFonts w:eastAsia="Calibri"/>
        <w:bCs/>
        <w:sz w:val="20"/>
        <w:szCs w:val="20"/>
      </w:rPr>
    </w:pPr>
  </w:p>
  <w:p w:rsidR="00FB5F39" w:rsidRPr="006B59DD" w:rsidRDefault="00FB5F39" w:rsidP="00FB5F39">
    <w:pPr>
      <w:tabs>
        <w:tab w:val="left" w:pos="2340"/>
      </w:tabs>
      <w:jc w:val="center"/>
      <w:rPr>
        <w:rFonts w:eastAsia="Calibri"/>
        <w:bCs/>
        <w:sz w:val="20"/>
        <w:szCs w:val="20"/>
      </w:rPr>
    </w:pPr>
    <w:r w:rsidRPr="006B59DD">
      <w:rPr>
        <w:rFonts w:eastAsia="Calibri"/>
        <w:sz w:val="20"/>
        <w:szCs w:val="20"/>
      </w:rPr>
      <w:t>The Corporate Compliance Toolkit</w:t>
    </w:r>
    <w:r w:rsidR="00CF210E">
      <w:rPr>
        <w:rFonts w:eastAsia="Calibri"/>
        <w:sz w:val="20"/>
        <w:szCs w:val="20"/>
      </w:rPr>
      <w:t xml:space="preserve"> for PCAs-HCCNs</w:t>
    </w:r>
  </w:p>
  <w:p w:rsidR="00FB5F39" w:rsidRPr="006B59DD" w:rsidRDefault="00FB5F39" w:rsidP="00FB5F39">
    <w:pPr>
      <w:tabs>
        <w:tab w:val="left" w:pos="2340"/>
      </w:tabs>
      <w:jc w:val="center"/>
      <w:rPr>
        <w:rFonts w:eastAsia="Calibri"/>
        <w:bCs/>
        <w:sz w:val="20"/>
        <w:szCs w:val="20"/>
        <w:lang w:val="de-DE"/>
      </w:rPr>
    </w:pPr>
    <w:r w:rsidRPr="006B59DD">
      <w:rPr>
        <w:rFonts w:eastAsia="Calibri"/>
        <w:sz w:val="20"/>
        <w:szCs w:val="20"/>
        <w:lang w:val="de-DE"/>
      </w:rPr>
      <w:t>© 201</w:t>
    </w:r>
    <w:r w:rsidR="00CF210E">
      <w:rPr>
        <w:rFonts w:eastAsia="Calibri"/>
        <w:sz w:val="20"/>
        <w:szCs w:val="20"/>
        <w:lang w:val="de-DE"/>
      </w:rPr>
      <w:t>5</w:t>
    </w:r>
    <w:r w:rsidRPr="006B59DD">
      <w:rPr>
        <w:rFonts w:eastAsia="Calibri"/>
        <w:sz w:val="20"/>
        <w:szCs w:val="20"/>
        <w:lang w:val="de-DE"/>
      </w:rPr>
      <w:t xml:space="preserve"> </w:t>
    </w:r>
    <w:r w:rsidRPr="006B59DD">
      <w:rPr>
        <w:rFonts w:eastAsia="Calibri"/>
        <w:sz w:val="20"/>
        <w:szCs w:val="20"/>
      </w:rPr>
      <w:t>National Association of Community Health Centers, Inc.</w:t>
    </w:r>
  </w:p>
  <w:p w:rsidR="00FB5F39" w:rsidRPr="006B59DD" w:rsidRDefault="00FB5F39" w:rsidP="00FB5F39">
    <w:pPr>
      <w:tabs>
        <w:tab w:val="left" w:pos="2340"/>
      </w:tabs>
      <w:jc w:val="center"/>
      <w:rPr>
        <w:rFonts w:eastAsia="Calibri"/>
        <w:bCs/>
        <w:sz w:val="20"/>
        <w:szCs w:val="20"/>
        <w:lang w:val="de-DE"/>
      </w:rPr>
    </w:pPr>
    <w:r w:rsidRPr="006B59DD">
      <w:rPr>
        <w:rFonts w:eastAsia="Calibri"/>
        <w:sz w:val="20"/>
        <w:szCs w:val="20"/>
        <w:lang w:val="de-DE"/>
      </w:rPr>
      <w:t>and Feldesman Tucker Leifer Fidell LLP</w:t>
    </w:r>
  </w:p>
  <w:p w:rsidR="00FB5F39" w:rsidRPr="006B59DD" w:rsidRDefault="00FB5F39" w:rsidP="00FB5F39">
    <w:pPr>
      <w:tabs>
        <w:tab w:val="left" w:pos="2340"/>
      </w:tabs>
      <w:jc w:val="center"/>
      <w:rPr>
        <w:rFonts w:eastAsia="Calibri"/>
        <w:bCs/>
        <w:sz w:val="20"/>
        <w:szCs w:val="20"/>
      </w:rPr>
    </w:pPr>
  </w:p>
  <w:p w:rsidR="00FB5F39" w:rsidRPr="00FB5F39" w:rsidRDefault="00FB5F39" w:rsidP="00FB5F39">
    <w:pPr>
      <w:tabs>
        <w:tab w:val="left" w:pos="2340"/>
      </w:tabs>
      <w:jc w:val="center"/>
      <w:rPr>
        <w:rFonts w:eastAsia="Calibri"/>
        <w:sz w:val="20"/>
        <w:szCs w:val="20"/>
        <w:lang w:val="de-DE"/>
      </w:rPr>
    </w:pPr>
    <w:r w:rsidRPr="006B59DD">
      <w:rPr>
        <w:rFonts w:eastAsia="Calibri"/>
        <w:bCs/>
        <w:sz w:val="20"/>
        <w:szCs w:val="20"/>
      </w:rPr>
      <w:fldChar w:fldCharType="begin"/>
    </w:r>
    <w:r w:rsidRPr="006B59DD">
      <w:rPr>
        <w:rFonts w:eastAsia="Calibri"/>
        <w:sz w:val="20"/>
        <w:szCs w:val="20"/>
      </w:rPr>
      <w:instrText xml:space="preserve"> PAGE </w:instrText>
    </w:r>
    <w:r w:rsidRPr="006B59DD">
      <w:rPr>
        <w:rFonts w:eastAsia="Calibri"/>
        <w:bCs/>
        <w:sz w:val="20"/>
        <w:szCs w:val="20"/>
      </w:rPr>
      <w:fldChar w:fldCharType="separate"/>
    </w:r>
    <w:r w:rsidR="00455C1E">
      <w:rPr>
        <w:rFonts w:eastAsia="Calibri"/>
        <w:noProof/>
        <w:sz w:val="20"/>
        <w:szCs w:val="20"/>
      </w:rPr>
      <w:t>1</w:t>
    </w:r>
    <w:r w:rsidRPr="006B59DD">
      <w:rPr>
        <w:rFonts w:eastAsia="Calibri"/>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39" w:rsidRDefault="00FB5F39" w:rsidP="00FB5F39">
      <w:r>
        <w:separator/>
      </w:r>
    </w:p>
  </w:footnote>
  <w:footnote w:type="continuationSeparator" w:id="0">
    <w:p w:rsidR="00FB5F39" w:rsidRDefault="00FB5F39" w:rsidP="00FB5F39">
      <w:r>
        <w:continuationSeparator/>
      </w:r>
    </w:p>
  </w:footnote>
  <w:footnote w:id="1">
    <w:p w:rsidR="00CC04D1" w:rsidRPr="005852FF" w:rsidRDefault="00CC04D1" w:rsidP="005852FF">
      <w:pPr>
        <w:pStyle w:val="FootnoteText"/>
        <w:ind w:left="360" w:hanging="360"/>
      </w:pPr>
      <w:r w:rsidRPr="005852FF">
        <w:rPr>
          <w:rStyle w:val="FootnoteReference"/>
        </w:rPr>
        <w:footnoteRef/>
      </w:r>
      <w:r w:rsidRPr="005852FF">
        <w:t xml:space="preserve"> </w:t>
      </w:r>
      <w:r w:rsidR="005852FF">
        <w:tab/>
      </w:r>
      <w:r w:rsidRPr="005852FF">
        <w:rPr>
          <w:iCs/>
          <w:u w:val="single"/>
        </w:rPr>
        <w:t>See</w:t>
      </w:r>
      <w:r w:rsidRPr="005852FF">
        <w:rPr>
          <w:iCs/>
        </w:rPr>
        <w:t xml:space="preserve"> IRC Section 501(c)(3). </w:t>
      </w:r>
    </w:p>
  </w:footnote>
  <w:footnote w:id="2">
    <w:p w:rsidR="00ED3F0A" w:rsidRPr="005852FF" w:rsidRDefault="00ED3F0A" w:rsidP="005852FF">
      <w:pPr>
        <w:pStyle w:val="FootnoteText"/>
        <w:ind w:left="360" w:hanging="360"/>
      </w:pPr>
      <w:r w:rsidRPr="005852FF">
        <w:rPr>
          <w:rStyle w:val="FootnoteReference"/>
        </w:rPr>
        <w:footnoteRef/>
      </w:r>
      <w:r w:rsidRPr="005852FF">
        <w:t xml:space="preserve"> </w:t>
      </w:r>
      <w:r w:rsidRPr="005852FF">
        <w:rPr>
          <w:iCs/>
        </w:rPr>
        <w:t xml:space="preserve"> </w:t>
      </w:r>
      <w:r w:rsidR="005852FF">
        <w:rPr>
          <w:iCs/>
        </w:rPr>
        <w:tab/>
      </w:r>
      <w:r w:rsidRPr="005852FF">
        <w:rPr>
          <w:iCs/>
        </w:rPr>
        <w:t>45 C.F.R. Part 75, Subpart E</w:t>
      </w:r>
      <w:r w:rsidR="00726297" w:rsidRPr="005852FF">
        <w:rPr>
          <w:iCs/>
        </w:rPr>
        <w:t>.</w:t>
      </w:r>
    </w:p>
  </w:footnote>
  <w:footnote w:id="3">
    <w:p w:rsidR="00ED3F0A" w:rsidRPr="005852FF" w:rsidRDefault="00ED3F0A" w:rsidP="005852FF">
      <w:pPr>
        <w:pStyle w:val="FootnoteText"/>
        <w:ind w:left="360" w:hanging="360"/>
      </w:pPr>
      <w:r w:rsidRPr="005852FF">
        <w:rPr>
          <w:rStyle w:val="FootnoteReference"/>
        </w:rPr>
        <w:footnoteRef/>
      </w:r>
      <w:r w:rsidRPr="005852FF">
        <w:t xml:space="preserve"> </w:t>
      </w:r>
      <w:r w:rsidR="005852FF">
        <w:tab/>
      </w:r>
      <w:r w:rsidRPr="005852FF">
        <w:rPr>
          <w:iCs/>
          <w:u w:val="single"/>
        </w:rPr>
        <w:t xml:space="preserve">See </w:t>
      </w:r>
      <w:r w:rsidRPr="005852FF">
        <w:rPr>
          <w:iCs/>
        </w:rPr>
        <w:t>45 C.F.R. § 75.450(c)</w:t>
      </w:r>
    </w:p>
  </w:footnote>
  <w:footnote w:id="4">
    <w:p w:rsidR="00726297" w:rsidRPr="005852FF" w:rsidRDefault="00726297" w:rsidP="005852FF">
      <w:pPr>
        <w:pStyle w:val="FootnoteText"/>
        <w:ind w:left="360" w:hanging="360"/>
      </w:pPr>
      <w:r w:rsidRPr="005852FF">
        <w:rPr>
          <w:rStyle w:val="FootnoteReference"/>
        </w:rPr>
        <w:footnoteRef/>
      </w:r>
      <w:r w:rsidRPr="005852FF">
        <w:t xml:space="preserve"> </w:t>
      </w:r>
      <w:r w:rsidR="005852FF">
        <w:tab/>
      </w:r>
      <w:r w:rsidRPr="005852FF">
        <w:rPr>
          <w:iCs/>
        </w:rPr>
        <w:t>31 U.S.C. 1352.</w:t>
      </w:r>
    </w:p>
  </w:footnote>
  <w:footnote w:id="5">
    <w:p w:rsidR="00794C10" w:rsidRPr="005852FF" w:rsidRDefault="00794C10" w:rsidP="005852FF">
      <w:pPr>
        <w:pStyle w:val="FootnoteText"/>
        <w:ind w:left="360" w:hanging="360"/>
      </w:pPr>
      <w:r w:rsidRPr="005852FF">
        <w:rPr>
          <w:rStyle w:val="FootnoteReference"/>
        </w:rPr>
        <w:footnoteRef/>
      </w:r>
      <w:r w:rsidRPr="005852FF">
        <w:t xml:space="preserve"> </w:t>
      </w:r>
      <w:r w:rsidR="005852FF">
        <w:tab/>
      </w:r>
      <w:r w:rsidRPr="005852FF">
        <w:rPr>
          <w:iCs/>
        </w:rPr>
        <w:t>P.L. 113-235, Section 503(b).</w:t>
      </w:r>
    </w:p>
  </w:footnote>
  <w:footnote w:id="6">
    <w:p w:rsidR="00420943" w:rsidRPr="005852FF" w:rsidRDefault="00420943" w:rsidP="005852FF">
      <w:pPr>
        <w:pStyle w:val="FootnoteText"/>
        <w:ind w:left="360" w:hanging="360"/>
      </w:pPr>
      <w:r w:rsidRPr="005852FF">
        <w:rPr>
          <w:rStyle w:val="FootnoteReference"/>
        </w:rPr>
        <w:footnoteRef/>
      </w:r>
      <w:r w:rsidRPr="005852FF">
        <w:t xml:space="preserve"> </w:t>
      </w:r>
      <w:r w:rsidR="005852FF">
        <w:tab/>
      </w:r>
      <w:r w:rsidR="00A66D93" w:rsidRPr="005852FF">
        <w:rPr>
          <w:iCs/>
          <w:u w:val="single"/>
        </w:rPr>
        <w:t>See</w:t>
      </w:r>
      <w:r w:rsidR="00A66D93" w:rsidRPr="005852FF">
        <w:rPr>
          <w:iCs/>
        </w:rPr>
        <w:t xml:space="preserve"> IRC Section 501(c)(3). </w:t>
      </w:r>
    </w:p>
  </w:footnote>
  <w:footnote w:id="7">
    <w:p w:rsidR="00A66D93" w:rsidRPr="005852FF" w:rsidRDefault="00A66D93" w:rsidP="005852FF">
      <w:pPr>
        <w:pStyle w:val="FootnoteText"/>
        <w:ind w:left="360" w:hanging="360"/>
      </w:pPr>
      <w:r w:rsidRPr="005852FF">
        <w:rPr>
          <w:rStyle w:val="FootnoteReference"/>
        </w:rPr>
        <w:footnoteRef/>
      </w:r>
      <w:r w:rsidRPr="005852FF">
        <w:t xml:space="preserve"> </w:t>
      </w:r>
      <w:r w:rsidR="005852FF">
        <w:tab/>
      </w:r>
      <w:r w:rsidRPr="005852FF">
        <w:t xml:space="preserve">For more details, </w:t>
      </w:r>
      <w:r w:rsidRPr="005852FF">
        <w:rPr>
          <w:iCs/>
          <w:u w:val="single"/>
        </w:rPr>
        <w:t>see</w:t>
      </w:r>
      <w:r w:rsidRPr="005852FF">
        <w:rPr>
          <w:iCs/>
        </w:rPr>
        <w:t xml:space="preserve"> </w:t>
      </w:r>
      <w:hyperlink r:id="rId1" w:history="1">
        <w:r w:rsidRPr="005852FF">
          <w:rPr>
            <w:rStyle w:val="Hyperlink"/>
            <w:iCs/>
          </w:rPr>
          <w:t>Introductory Guidance: Federal Election Campaign Act</w:t>
        </w:r>
      </w:hyperlink>
      <w:r w:rsidRPr="005852FF">
        <w:rPr>
          <w:iCs/>
        </w:rPr>
        <w:t>.</w:t>
      </w:r>
    </w:p>
  </w:footnote>
  <w:footnote w:id="8">
    <w:p w:rsidR="00744DA6" w:rsidRPr="005852FF" w:rsidRDefault="00744DA6" w:rsidP="005852FF">
      <w:pPr>
        <w:ind w:left="360" w:hanging="360"/>
        <w:rPr>
          <w:rFonts w:cs="Times New Roman"/>
          <w:sz w:val="20"/>
          <w:szCs w:val="20"/>
        </w:rPr>
      </w:pPr>
      <w:r w:rsidRPr="005852FF">
        <w:rPr>
          <w:rStyle w:val="FootnoteReference"/>
          <w:sz w:val="20"/>
          <w:szCs w:val="20"/>
        </w:rPr>
        <w:footnoteRef/>
      </w:r>
      <w:r w:rsidRPr="005852FF">
        <w:rPr>
          <w:sz w:val="20"/>
          <w:szCs w:val="20"/>
        </w:rPr>
        <w:t xml:space="preserve"> </w:t>
      </w:r>
      <w:r w:rsidR="005852FF">
        <w:rPr>
          <w:sz w:val="20"/>
          <w:szCs w:val="20"/>
        </w:rPr>
        <w:tab/>
      </w:r>
      <w:r w:rsidRPr="005852FF">
        <w:rPr>
          <w:rFonts w:cs="Times New Roman"/>
          <w:sz w:val="20"/>
          <w:szCs w:val="20"/>
        </w:rPr>
        <w:t xml:space="preserve">The Authors of these materials include attorneys at the law firm of Feldesman Tucker Leifer Fidell LLP. The </w:t>
      </w:r>
      <w:r w:rsidR="001B0EA9" w:rsidRPr="005852FF">
        <w:rPr>
          <w:color w:val="000000"/>
          <w:spacing w:val="-4"/>
          <w:sz w:val="20"/>
          <w:szCs w:val="20"/>
        </w:rPr>
        <w:t>adv</w:t>
      </w:r>
      <w:r w:rsidR="001B0EA9" w:rsidRPr="005852FF">
        <w:rPr>
          <w:color w:val="000000"/>
          <w:spacing w:val="-2"/>
          <w:sz w:val="20"/>
          <w:szCs w:val="20"/>
        </w:rPr>
        <w:t>i</w:t>
      </w:r>
      <w:r w:rsidR="001B0EA9" w:rsidRPr="005852FF">
        <w:rPr>
          <w:color w:val="000000"/>
          <w:spacing w:val="-4"/>
          <w:sz w:val="20"/>
          <w:szCs w:val="20"/>
        </w:rPr>
        <w:t>c</w:t>
      </w:r>
      <w:r w:rsidR="001B0EA9" w:rsidRPr="005852FF">
        <w:rPr>
          <w:color w:val="000000"/>
          <w:sz w:val="20"/>
          <w:szCs w:val="20"/>
        </w:rPr>
        <w:t>e</w:t>
      </w:r>
      <w:r w:rsidR="001B0EA9" w:rsidRPr="005852FF">
        <w:rPr>
          <w:color w:val="000000"/>
          <w:spacing w:val="-3"/>
          <w:sz w:val="20"/>
          <w:szCs w:val="20"/>
        </w:rPr>
        <w:t xml:space="preserve"> </w:t>
      </w:r>
      <w:r w:rsidR="001B0EA9" w:rsidRPr="005852FF">
        <w:rPr>
          <w:color w:val="000000"/>
          <w:spacing w:val="-2"/>
          <w:sz w:val="20"/>
          <w:szCs w:val="20"/>
        </w:rPr>
        <w:t>a</w:t>
      </w:r>
      <w:r w:rsidR="001B0EA9" w:rsidRPr="005852FF">
        <w:rPr>
          <w:color w:val="000000"/>
          <w:spacing w:val="-3"/>
          <w:sz w:val="20"/>
          <w:szCs w:val="20"/>
        </w:rPr>
        <w:t>n</w:t>
      </w:r>
      <w:r w:rsidR="001B0EA9" w:rsidRPr="005852FF">
        <w:rPr>
          <w:color w:val="000000"/>
          <w:sz w:val="20"/>
          <w:szCs w:val="20"/>
        </w:rPr>
        <w:t>d</w:t>
      </w:r>
      <w:r w:rsidR="001B0EA9" w:rsidRPr="005852FF">
        <w:rPr>
          <w:color w:val="000000"/>
          <w:spacing w:val="-3"/>
          <w:sz w:val="20"/>
          <w:szCs w:val="20"/>
        </w:rPr>
        <w:t xml:space="preserve"> </w:t>
      </w:r>
      <w:r w:rsidR="001B0EA9" w:rsidRPr="005852FF">
        <w:rPr>
          <w:color w:val="000000"/>
          <w:spacing w:val="-4"/>
          <w:sz w:val="20"/>
          <w:szCs w:val="20"/>
        </w:rPr>
        <w:t>r</w:t>
      </w:r>
      <w:r w:rsidR="001B0EA9" w:rsidRPr="005852FF">
        <w:rPr>
          <w:color w:val="000000"/>
          <w:spacing w:val="-2"/>
          <w:sz w:val="20"/>
          <w:szCs w:val="20"/>
        </w:rPr>
        <w:t>e</w:t>
      </w:r>
      <w:r w:rsidR="001B0EA9" w:rsidRPr="005852FF">
        <w:rPr>
          <w:color w:val="000000"/>
          <w:spacing w:val="-4"/>
          <w:sz w:val="20"/>
          <w:szCs w:val="20"/>
        </w:rPr>
        <w:t>c</w:t>
      </w:r>
      <w:r w:rsidR="001B0EA9" w:rsidRPr="005852FF">
        <w:rPr>
          <w:color w:val="000000"/>
          <w:spacing w:val="-3"/>
          <w:sz w:val="20"/>
          <w:szCs w:val="20"/>
        </w:rPr>
        <w:t>o</w:t>
      </w:r>
      <w:r w:rsidR="001B0EA9" w:rsidRPr="005852FF">
        <w:rPr>
          <w:color w:val="000000"/>
          <w:spacing w:val="-4"/>
          <w:sz w:val="20"/>
          <w:szCs w:val="20"/>
        </w:rPr>
        <w:t>m</w:t>
      </w:r>
      <w:r w:rsidR="001B0EA9" w:rsidRPr="005852FF">
        <w:rPr>
          <w:color w:val="000000"/>
          <w:spacing w:val="-3"/>
          <w:sz w:val="20"/>
          <w:szCs w:val="20"/>
        </w:rPr>
        <w:t>m</w:t>
      </w:r>
      <w:r w:rsidR="001B0EA9" w:rsidRPr="005852FF">
        <w:rPr>
          <w:color w:val="000000"/>
          <w:spacing w:val="-4"/>
          <w:sz w:val="20"/>
          <w:szCs w:val="20"/>
        </w:rPr>
        <w:t>en</w:t>
      </w:r>
      <w:r w:rsidR="001B0EA9" w:rsidRPr="005852FF">
        <w:rPr>
          <w:color w:val="000000"/>
          <w:spacing w:val="-2"/>
          <w:sz w:val="20"/>
          <w:szCs w:val="20"/>
        </w:rPr>
        <w:t>d</w:t>
      </w:r>
      <w:r w:rsidR="001B0EA9" w:rsidRPr="005852FF">
        <w:rPr>
          <w:color w:val="000000"/>
          <w:spacing w:val="-3"/>
          <w:sz w:val="20"/>
          <w:szCs w:val="20"/>
        </w:rPr>
        <w:t>a</w:t>
      </w:r>
      <w:r w:rsidR="001B0EA9" w:rsidRPr="005852FF">
        <w:rPr>
          <w:color w:val="000000"/>
          <w:spacing w:val="-4"/>
          <w:sz w:val="20"/>
          <w:szCs w:val="20"/>
        </w:rPr>
        <w:t>ti</w:t>
      </w:r>
      <w:r w:rsidR="001B0EA9" w:rsidRPr="005852FF">
        <w:rPr>
          <w:color w:val="000000"/>
          <w:spacing w:val="-3"/>
          <w:sz w:val="20"/>
          <w:szCs w:val="20"/>
        </w:rPr>
        <w:t>o</w:t>
      </w:r>
      <w:r w:rsidR="001B0EA9" w:rsidRPr="005852FF">
        <w:rPr>
          <w:color w:val="000000"/>
          <w:spacing w:val="-4"/>
          <w:sz w:val="20"/>
          <w:szCs w:val="20"/>
        </w:rPr>
        <w:t>n</w:t>
      </w:r>
      <w:r w:rsidR="001B0EA9" w:rsidRPr="005852FF">
        <w:rPr>
          <w:color w:val="000000"/>
          <w:sz w:val="20"/>
          <w:szCs w:val="20"/>
        </w:rPr>
        <w:t>s</w:t>
      </w:r>
      <w:r w:rsidR="001B0EA9" w:rsidRPr="005852FF">
        <w:rPr>
          <w:color w:val="000000"/>
          <w:spacing w:val="-3"/>
          <w:sz w:val="20"/>
          <w:szCs w:val="20"/>
        </w:rPr>
        <w:t xml:space="preserve"> c</w:t>
      </w:r>
      <w:r w:rsidR="001B0EA9" w:rsidRPr="005852FF">
        <w:rPr>
          <w:color w:val="000000"/>
          <w:spacing w:val="-4"/>
          <w:sz w:val="20"/>
          <w:szCs w:val="20"/>
        </w:rPr>
        <w:t>o</w:t>
      </w:r>
      <w:r w:rsidR="001B0EA9" w:rsidRPr="005852FF">
        <w:rPr>
          <w:color w:val="000000"/>
          <w:spacing w:val="-3"/>
          <w:sz w:val="20"/>
          <w:szCs w:val="20"/>
        </w:rPr>
        <w:t>ns</w:t>
      </w:r>
      <w:r w:rsidR="001B0EA9" w:rsidRPr="005852FF">
        <w:rPr>
          <w:color w:val="000000"/>
          <w:spacing w:val="-4"/>
          <w:sz w:val="20"/>
          <w:szCs w:val="20"/>
        </w:rPr>
        <w:t>i</w:t>
      </w:r>
      <w:r w:rsidR="001B0EA9" w:rsidRPr="005852FF">
        <w:rPr>
          <w:color w:val="000000"/>
          <w:spacing w:val="-2"/>
          <w:sz w:val="20"/>
          <w:szCs w:val="20"/>
        </w:rPr>
        <w:t>s</w:t>
      </w:r>
      <w:r w:rsidR="001B0EA9" w:rsidRPr="005852FF">
        <w:rPr>
          <w:color w:val="000000"/>
          <w:sz w:val="20"/>
          <w:szCs w:val="20"/>
        </w:rPr>
        <w:t>t</w:t>
      </w:r>
      <w:r w:rsidR="001B0EA9" w:rsidRPr="005852FF">
        <w:rPr>
          <w:color w:val="000000"/>
          <w:spacing w:val="-2"/>
          <w:sz w:val="20"/>
          <w:szCs w:val="20"/>
        </w:rPr>
        <w:t xml:space="preserve"> </w:t>
      </w:r>
      <w:r w:rsidR="001B0EA9" w:rsidRPr="005852FF">
        <w:rPr>
          <w:color w:val="000000"/>
          <w:spacing w:val="-4"/>
          <w:sz w:val="20"/>
          <w:szCs w:val="20"/>
        </w:rPr>
        <w:t>o</w:t>
      </w:r>
      <w:r w:rsidR="001B0EA9" w:rsidRPr="005852FF">
        <w:rPr>
          <w:color w:val="000000"/>
          <w:sz w:val="20"/>
          <w:szCs w:val="20"/>
        </w:rPr>
        <w:t>f</w:t>
      </w:r>
      <w:r w:rsidR="001B0EA9" w:rsidRPr="005852FF">
        <w:rPr>
          <w:color w:val="000000"/>
          <w:spacing w:val="-3"/>
          <w:sz w:val="20"/>
          <w:szCs w:val="20"/>
        </w:rPr>
        <w:t xml:space="preserve"> </w:t>
      </w:r>
      <w:r w:rsidR="001B0EA9" w:rsidRPr="005852FF">
        <w:rPr>
          <w:color w:val="000000"/>
          <w:spacing w:val="-4"/>
          <w:sz w:val="20"/>
          <w:szCs w:val="20"/>
        </w:rPr>
        <w:t>g</w:t>
      </w:r>
      <w:r w:rsidR="001B0EA9" w:rsidRPr="005852FF">
        <w:rPr>
          <w:color w:val="000000"/>
          <w:spacing w:val="-2"/>
          <w:sz w:val="20"/>
          <w:szCs w:val="20"/>
        </w:rPr>
        <w:t>e</w:t>
      </w:r>
      <w:r w:rsidR="001B0EA9" w:rsidRPr="005852FF">
        <w:rPr>
          <w:color w:val="000000"/>
          <w:spacing w:val="-4"/>
          <w:sz w:val="20"/>
          <w:szCs w:val="20"/>
        </w:rPr>
        <w:t>nera</w:t>
      </w:r>
      <w:r w:rsidR="001B0EA9" w:rsidRPr="005852FF">
        <w:rPr>
          <w:color w:val="000000"/>
          <w:sz w:val="20"/>
          <w:szCs w:val="20"/>
        </w:rPr>
        <w:t>l</w:t>
      </w:r>
      <w:r w:rsidR="001B0EA9" w:rsidRPr="005852FF">
        <w:rPr>
          <w:color w:val="000000"/>
          <w:spacing w:val="-3"/>
          <w:sz w:val="20"/>
          <w:szCs w:val="20"/>
        </w:rPr>
        <w:t xml:space="preserve"> </w:t>
      </w:r>
      <w:r w:rsidR="001B0EA9" w:rsidRPr="005852FF">
        <w:rPr>
          <w:color w:val="000000"/>
          <w:spacing w:val="-4"/>
          <w:sz w:val="20"/>
          <w:szCs w:val="20"/>
        </w:rPr>
        <w:t>g</w:t>
      </w:r>
      <w:r w:rsidR="001B0EA9" w:rsidRPr="005852FF">
        <w:rPr>
          <w:color w:val="000000"/>
          <w:spacing w:val="-3"/>
          <w:sz w:val="20"/>
          <w:szCs w:val="20"/>
        </w:rPr>
        <w:t>u</w:t>
      </w:r>
      <w:r w:rsidR="001B0EA9" w:rsidRPr="005852FF">
        <w:rPr>
          <w:color w:val="000000"/>
          <w:spacing w:val="-2"/>
          <w:sz w:val="20"/>
          <w:szCs w:val="20"/>
        </w:rPr>
        <w:t>i</w:t>
      </w:r>
      <w:r w:rsidR="001B0EA9" w:rsidRPr="005852FF">
        <w:rPr>
          <w:color w:val="000000"/>
          <w:spacing w:val="-4"/>
          <w:sz w:val="20"/>
          <w:szCs w:val="20"/>
        </w:rPr>
        <w:t>d</w:t>
      </w:r>
      <w:r w:rsidR="001B0EA9" w:rsidRPr="005852FF">
        <w:rPr>
          <w:color w:val="000000"/>
          <w:spacing w:val="-3"/>
          <w:sz w:val="20"/>
          <w:szCs w:val="20"/>
        </w:rPr>
        <w:t>a</w:t>
      </w:r>
      <w:r w:rsidR="001B0EA9" w:rsidRPr="005852FF">
        <w:rPr>
          <w:color w:val="000000"/>
          <w:spacing w:val="-4"/>
          <w:sz w:val="20"/>
          <w:szCs w:val="20"/>
        </w:rPr>
        <w:t>nc</w:t>
      </w:r>
      <w:r w:rsidR="001B0EA9" w:rsidRPr="005852FF">
        <w:rPr>
          <w:color w:val="000000"/>
          <w:sz w:val="20"/>
          <w:szCs w:val="20"/>
        </w:rPr>
        <w:t>e</w:t>
      </w:r>
      <w:r w:rsidR="001B0EA9" w:rsidRPr="005852FF">
        <w:rPr>
          <w:color w:val="000000"/>
          <w:spacing w:val="-2"/>
          <w:sz w:val="20"/>
          <w:szCs w:val="20"/>
        </w:rPr>
        <w:t xml:space="preserve"> </w:t>
      </w:r>
      <w:r w:rsidR="001B0EA9" w:rsidRPr="005852FF">
        <w:rPr>
          <w:color w:val="000000"/>
          <w:spacing w:val="-4"/>
          <w:sz w:val="20"/>
          <w:szCs w:val="20"/>
        </w:rPr>
        <w:t>b</w:t>
      </w:r>
      <w:r w:rsidR="001B0EA9" w:rsidRPr="005852FF">
        <w:rPr>
          <w:color w:val="000000"/>
          <w:spacing w:val="-3"/>
          <w:sz w:val="20"/>
          <w:szCs w:val="20"/>
        </w:rPr>
        <w:t>a</w:t>
      </w:r>
      <w:r w:rsidR="001B0EA9" w:rsidRPr="005852FF">
        <w:rPr>
          <w:color w:val="000000"/>
          <w:spacing w:val="-2"/>
          <w:sz w:val="20"/>
          <w:szCs w:val="20"/>
        </w:rPr>
        <w:t>s</w:t>
      </w:r>
      <w:r w:rsidR="001B0EA9" w:rsidRPr="005852FF">
        <w:rPr>
          <w:color w:val="000000"/>
          <w:spacing w:val="-4"/>
          <w:sz w:val="20"/>
          <w:szCs w:val="20"/>
        </w:rPr>
        <w:t>e</w:t>
      </w:r>
      <w:r w:rsidR="001B0EA9" w:rsidRPr="005852FF">
        <w:rPr>
          <w:color w:val="000000"/>
          <w:sz w:val="20"/>
          <w:szCs w:val="20"/>
        </w:rPr>
        <w:t>d</w:t>
      </w:r>
      <w:r w:rsidR="001B0EA9" w:rsidRPr="005852FF">
        <w:rPr>
          <w:rFonts w:cs="Times New Roman"/>
          <w:sz w:val="20"/>
          <w:szCs w:val="20"/>
        </w:rPr>
        <w:t xml:space="preserve"> on federal law and regulations</w:t>
      </w:r>
      <w:r w:rsidRPr="005852FF">
        <w:rPr>
          <w:rFonts w:cs="Times New Roman"/>
          <w:sz w:val="20"/>
          <w:szCs w:val="20"/>
        </w:rPr>
        <w:t xml:space="preserve"> and do not necessarily apply to all PCAs</w:t>
      </w:r>
      <w:r w:rsidR="00CF210E" w:rsidRPr="005852FF">
        <w:rPr>
          <w:rFonts w:cs="Times New Roman"/>
          <w:sz w:val="20"/>
          <w:szCs w:val="20"/>
        </w:rPr>
        <w:t>-HCCNs</w:t>
      </w:r>
      <w:r w:rsidRPr="005852FF">
        <w:rPr>
          <w:rFonts w:cs="Times New Roman"/>
          <w:sz w:val="20"/>
          <w:szCs w:val="20"/>
        </w:rPr>
        <w:t xml:space="preserve"> under all facts and circumstances. Further, these materials do not replace, and are not a substitute for, legal advice from qualified legal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39" w:rsidRPr="00014E7E" w:rsidRDefault="00FB5F39" w:rsidP="00FB5F39">
    <w:pPr>
      <w:jc w:val="center"/>
      <w:rPr>
        <w:sz w:val="20"/>
      </w:rPr>
    </w:pPr>
    <w:r w:rsidRPr="00014E7E">
      <w:rPr>
        <w:sz w:val="20"/>
      </w:rPr>
      <w:t>Volume II: PCA</w:t>
    </w:r>
    <w:r w:rsidR="00CF210E">
      <w:rPr>
        <w:sz w:val="20"/>
      </w:rPr>
      <w:t>-HCCN</w:t>
    </w:r>
    <w:r w:rsidRPr="00014E7E">
      <w:rPr>
        <w:sz w:val="20"/>
      </w:rPr>
      <w:t xml:space="preserve"> Risk Areas</w:t>
    </w:r>
  </w:p>
  <w:p w:rsidR="00FB5F39" w:rsidRPr="00014E7E" w:rsidRDefault="00FB5F39" w:rsidP="00FB5F39">
    <w:pPr>
      <w:pBdr>
        <w:bottom w:val="single" w:sz="12" w:space="0" w:color="auto"/>
      </w:pBdr>
      <w:jc w:val="center"/>
      <w:rPr>
        <w:sz w:val="20"/>
      </w:rPr>
    </w:pPr>
    <w:r>
      <w:rPr>
        <w:sz w:val="20"/>
      </w:rPr>
      <w:t>Lobbying and Political Activity</w:t>
    </w:r>
  </w:p>
  <w:p w:rsidR="00FB5F39" w:rsidRPr="00014E7E" w:rsidRDefault="00FB5F39" w:rsidP="00FB5F39">
    <w:pPr>
      <w:pBdr>
        <w:bottom w:val="single" w:sz="12" w:space="0" w:color="auto"/>
      </w:pBdr>
      <w:jc w:val="center"/>
      <w:rPr>
        <w:sz w:val="20"/>
      </w:rPr>
    </w:pPr>
  </w:p>
  <w:p w:rsidR="00FB5F39" w:rsidRDefault="00FB5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C6AA5"/>
    <w:multiLevelType w:val="hybridMultilevel"/>
    <w:tmpl w:val="1344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0D"/>
    <w:rsid w:val="0000738F"/>
    <w:rsid w:val="00015BD4"/>
    <w:rsid w:val="00057DA8"/>
    <w:rsid w:val="000B4285"/>
    <w:rsid w:val="000D783D"/>
    <w:rsid w:val="000E2888"/>
    <w:rsid w:val="00105E4A"/>
    <w:rsid w:val="00107418"/>
    <w:rsid w:val="00170D65"/>
    <w:rsid w:val="00186080"/>
    <w:rsid w:val="001B0EA9"/>
    <w:rsid w:val="001E4B86"/>
    <w:rsid w:val="00235D7B"/>
    <w:rsid w:val="00247B45"/>
    <w:rsid w:val="00280CEA"/>
    <w:rsid w:val="0030792D"/>
    <w:rsid w:val="00324D3D"/>
    <w:rsid w:val="0036018B"/>
    <w:rsid w:val="003B5E80"/>
    <w:rsid w:val="00402749"/>
    <w:rsid w:val="00420943"/>
    <w:rsid w:val="00425550"/>
    <w:rsid w:val="00455C1E"/>
    <w:rsid w:val="00461FAA"/>
    <w:rsid w:val="00496EDA"/>
    <w:rsid w:val="004A6876"/>
    <w:rsid w:val="004B1C63"/>
    <w:rsid w:val="0051291D"/>
    <w:rsid w:val="00572E1C"/>
    <w:rsid w:val="005852FF"/>
    <w:rsid w:val="00594866"/>
    <w:rsid w:val="005C0006"/>
    <w:rsid w:val="005D270D"/>
    <w:rsid w:val="005F1106"/>
    <w:rsid w:val="005F6AC1"/>
    <w:rsid w:val="0062040A"/>
    <w:rsid w:val="006B17FF"/>
    <w:rsid w:val="007108A5"/>
    <w:rsid w:val="00726297"/>
    <w:rsid w:val="00744DA6"/>
    <w:rsid w:val="007625CD"/>
    <w:rsid w:val="007832F8"/>
    <w:rsid w:val="007860D0"/>
    <w:rsid w:val="00794C10"/>
    <w:rsid w:val="00796705"/>
    <w:rsid w:val="007F6206"/>
    <w:rsid w:val="0080389B"/>
    <w:rsid w:val="00841DE2"/>
    <w:rsid w:val="00891548"/>
    <w:rsid w:val="008A7438"/>
    <w:rsid w:val="008B3972"/>
    <w:rsid w:val="008F3854"/>
    <w:rsid w:val="00901289"/>
    <w:rsid w:val="00905285"/>
    <w:rsid w:val="00914D44"/>
    <w:rsid w:val="00920444"/>
    <w:rsid w:val="00947EDD"/>
    <w:rsid w:val="00957401"/>
    <w:rsid w:val="009D6C5C"/>
    <w:rsid w:val="00A43AA4"/>
    <w:rsid w:val="00A51D74"/>
    <w:rsid w:val="00A53E41"/>
    <w:rsid w:val="00A66D93"/>
    <w:rsid w:val="00AC6052"/>
    <w:rsid w:val="00AD4E28"/>
    <w:rsid w:val="00AF79AA"/>
    <w:rsid w:val="00B17D33"/>
    <w:rsid w:val="00B55F89"/>
    <w:rsid w:val="00BD23E9"/>
    <w:rsid w:val="00BD575F"/>
    <w:rsid w:val="00C7093D"/>
    <w:rsid w:val="00CB7412"/>
    <w:rsid w:val="00CC04D1"/>
    <w:rsid w:val="00CD4C0D"/>
    <w:rsid w:val="00CD6CF8"/>
    <w:rsid w:val="00CE3DFD"/>
    <w:rsid w:val="00CF210E"/>
    <w:rsid w:val="00D02674"/>
    <w:rsid w:val="00D247E8"/>
    <w:rsid w:val="00D503B5"/>
    <w:rsid w:val="00D76BD5"/>
    <w:rsid w:val="00D87FA8"/>
    <w:rsid w:val="00DA5DD4"/>
    <w:rsid w:val="00DB1F04"/>
    <w:rsid w:val="00DB2F67"/>
    <w:rsid w:val="00DD1452"/>
    <w:rsid w:val="00DF20EC"/>
    <w:rsid w:val="00E568F5"/>
    <w:rsid w:val="00E70499"/>
    <w:rsid w:val="00E9237F"/>
    <w:rsid w:val="00EA0F30"/>
    <w:rsid w:val="00ED3F0A"/>
    <w:rsid w:val="00FB4A1B"/>
    <w:rsid w:val="00FB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Title">
    <w:name w:val="Title"/>
    <w:basedOn w:val="Normal"/>
    <w:link w:val="TitleChar"/>
    <w:qFormat/>
    <w:rsid w:val="00CD4C0D"/>
    <w:pPr>
      <w:jc w:val="center"/>
    </w:pPr>
    <w:rPr>
      <w:rFonts w:ascii="Arial" w:eastAsia="Times New Roman" w:hAnsi="Arial" w:cs="Times New Roman"/>
      <w:b/>
      <w:bCs/>
      <w:sz w:val="22"/>
      <w:szCs w:val="20"/>
    </w:rPr>
  </w:style>
  <w:style w:type="character" w:customStyle="1" w:styleId="TitleChar">
    <w:name w:val="Title Char"/>
    <w:basedOn w:val="DefaultParagraphFont"/>
    <w:link w:val="Title"/>
    <w:rsid w:val="00CD4C0D"/>
    <w:rPr>
      <w:rFonts w:ascii="Arial" w:eastAsia="Times New Roman" w:hAnsi="Arial" w:cs="Times New Roman"/>
      <w:b/>
      <w:bCs/>
      <w:szCs w:val="20"/>
    </w:rPr>
  </w:style>
  <w:style w:type="character" w:styleId="Hyperlink">
    <w:name w:val="Hyperlink"/>
    <w:basedOn w:val="DefaultParagraphFont"/>
    <w:uiPriority w:val="99"/>
    <w:unhideWhenUsed/>
    <w:rsid w:val="00107418"/>
    <w:rPr>
      <w:color w:val="0000FF" w:themeColor="hyperlink"/>
      <w:u w:val="single"/>
    </w:rPr>
  </w:style>
  <w:style w:type="paragraph" w:styleId="Header">
    <w:name w:val="header"/>
    <w:basedOn w:val="Normal"/>
    <w:link w:val="HeaderChar"/>
    <w:uiPriority w:val="99"/>
    <w:unhideWhenUsed/>
    <w:rsid w:val="00FB5F39"/>
    <w:pPr>
      <w:tabs>
        <w:tab w:val="center" w:pos="4680"/>
        <w:tab w:val="right" w:pos="9360"/>
      </w:tabs>
    </w:pPr>
  </w:style>
  <w:style w:type="character" w:customStyle="1" w:styleId="HeaderChar">
    <w:name w:val="Header Char"/>
    <w:basedOn w:val="DefaultParagraphFont"/>
    <w:link w:val="Header"/>
    <w:uiPriority w:val="99"/>
    <w:rsid w:val="00FB5F39"/>
    <w:rPr>
      <w:rFonts w:ascii="Times New Roman" w:hAnsi="Times New Roman"/>
      <w:sz w:val="24"/>
    </w:rPr>
  </w:style>
  <w:style w:type="paragraph" w:styleId="Footer">
    <w:name w:val="footer"/>
    <w:basedOn w:val="Normal"/>
    <w:link w:val="FooterChar"/>
    <w:uiPriority w:val="99"/>
    <w:unhideWhenUsed/>
    <w:rsid w:val="00FB5F39"/>
    <w:pPr>
      <w:tabs>
        <w:tab w:val="center" w:pos="4680"/>
        <w:tab w:val="right" w:pos="9360"/>
      </w:tabs>
    </w:pPr>
  </w:style>
  <w:style w:type="character" w:customStyle="1" w:styleId="FooterChar">
    <w:name w:val="Footer Char"/>
    <w:basedOn w:val="DefaultParagraphFont"/>
    <w:link w:val="Footer"/>
    <w:uiPriority w:val="99"/>
    <w:rsid w:val="00FB5F39"/>
    <w:rPr>
      <w:rFonts w:ascii="Times New Roman" w:hAnsi="Times New Roman"/>
      <w:sz w:val="24"/>
    </w:rPr>
  </w:style>
  <w:style w:type="paragraph" w:styleId="BalloonText">
    <w:name w:val="Balloon Text"/>
    <w:basedOn w:val="Normal"/>
    <w:link w:val="BalloonTextChar"/>
    <w:uiPriority w:val="99"/>
    <w:semiHidden/>
    <w:unhideWhenUsed/>
    <w:rsid w:val="00FB5F39"/>
    <w:rPr>
      <w:rFonts w:ascii="Tahoma" w:hAnsi="Tahoma" w:cs="Tahoma"/>
      <w:sz w:val="16"/>
      <w:szCs w:val="16"/>
    </w:rPr>
  </w:style>
  <w:style w:type="character" w:customStyle="1" w:styleId="BalloonTextChar">
    <w:name w:val="Balloon Text Char"/>
    <w:basedOn w:val="DefaultParagraphFont"/>
    <w:link w:val="BalloonText"/>
    <w:uiPriority w:val="99"/>
    <w:semiHidden/>
    <w:rsid w:val="00FB5F39"/>
    <w:rPr>
      <w:rFonts w:ascii="Tahoma" w:hAnsi="Tahoma" w:cs="Tahoma"/>
      <w:sz w:val="16"/>
      <w:szCs w:val="16"/>
    </w:rPr>
  </w:style>
  <w:style w:type="paragraph" w:styleId="FootnoteText">
    <w:name w:val="footnote text"/>
    <w:basedOn w:val="Normal"/>
    <w:link w:val="FootnoteTextChar"/>
    <w:uiPriority w:val="99"/>
    <w:semiHidden/>
    <w:unhideWhenUsed/>
    <w:rsid w:val="00744DA6"/>
    <w:rPr>
      <w:sz w:val="20"/>
      <w:szCs w:val="20"/>
    </w:rPr>
  </w:style>
  <w:style w:type="character" w:customStyle="1" w:styleId="FootnoteTextChar">
    <w:name w:val="Footnote Text Char"/>
    <w:basedOn w:val="DefaultParagraphFont"/>
    <w:link w:val="FootnoteText"/>
    <w:uiPriority w:val="99"/>
    <w:semiHidden/>
    <w:rsid w:val="00744DA6"/>
    <w:rPr>
      <w:rFonts w:ascii="Times New Roman" w:hAnsi="Times New Roman"/>
      <w:sz w:val="20"/>
      <w:szCs w:val="20"/>
    </w:rPr>
  </w:style>
  <w:style w:type="character" w:styleId="FootnoteReference">
    <w:name w:val="footnote reference"/>
    <w:basedOn w:val="DefaultParagraphFont"/>
    <w:uiPriority w:val="99"/>
    <w:semiHidden/>
    <w:unhideWhenUsed/>
    <w:rsid w:val="00744DA6"/>
    <w:rPr>
      <w:vertAlign w:val="superscript"/>
    </w:rPr>
  </w:style>
  <w:style w:type="character" w:styleId="FollowedHyperlink">
    <w:name w:val="FollowedHyperlink"/>
    <w:basedOn w:val="DefaultParagraphFont"/>
    <w:uiPriority w:val="99"/>
    <w:semiHidden/>
    <w:unhideWhenUsed/>
    <w:rsid w:val="00AC60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styleId="Title">
    <w:name w:val="Title"/>
    <w:basedOn w:val="Normal"/>
    <w:link w:val="TitleChar"/>
    <w:qFormat/>
    <w:rsid w:val="00CD4C0D"/>
    <w:pPr>
      <w:jc w:val="center"/>
    </w:pPr>
    <w:rPr>
      <w:rFonts w:ascii="Arial" w:eastAsia="Times New Roman" w:hAnsi="Arial" w:cs="Times New Roman"/>
      <w:b/>
      <w:bCs/>
      <w:sz w:val="22"/>
      <w:szCs w:val="20"/>
    </w:rPr>
  </w:style>
  <w:style w:type="character" w:customStyle="1" w:styleId="TitleChar">
    <w:name w:val="Title Char"/>
    <w:basedOn w:val="DefaultParagraphFont"/>
    <w:link w:val="Title"/>
    <w:rsid w:val="00CD4C0D"/>
    <w:rPr>
      <w:rFonts w:ascii="Arial" w:eastAsia="Times New Roman" w:hAnsi="Arial" w:cs="Times New Roman"/>
      <w:b/>
      <w:bCs/>
      <w:szCs w:val="20"/>
    </w:rPr>
  </w:style>
  <w:style w:type="character" w:styleId="Hyperlink">
    <w:name w:val="Hyperlink"/>
    <w:basedOn w:val="DefaultParagraphFont"/>
    <w:uiPriority w:val="99"/>
    <w:unhideWhenUsed/>
    <w:rsid w:val="00107418"/>
    <w:rPr>
      <w:color w:val="0000FF" w:themeColor="hyperlink"/>
      <w:u w:val="single"/>
    </w:rPr>
  </w:style>
  <w:style w:type="paragraph" w:styleId="Header">
    <w:name w:val="header"/>
    <w:basedOn w:val="Normal"/>
    <w:link w:val="HeaderChar"/>
    <w:uiPriority w:val="99"/>
    <w:unhideWhenUsed/>
    <w:rsid w:val="00FB5F39"/>
    <w:pPr>
      <w:tabs>
        <w:tab w:val="center" w:pos="4680"/>
        <w:tab w:val="right" w:pos="9360"/>
      </w:tabs>
    </w:pPr>
  </w:style>
  <w:style w:type="character" w:customStyle="1" w:styleId="HeaderChar">
    <w:name w:val="Header Char"/>
    <w:basedOn w:val="DefaultParagraphFont"/>
    <w:link w:val="Header"/>
    <w:uiPriority w:val="99"/>
    <w:rsid w:val="00FB5F39"/>
    <w:rPr>
      <w:rFonts w:ascii="Times New Roman" w:hAnsi="Times New Roman"/>
      <w:sz w:val="24"/>
    </w:rPr>
  </w:style>
  <w:style w:type="paragraph" w:styleId="Footer">
    <w:name w:val="footer"/>
    <w:basedOn w:val="Normal"/>
    <w:link w:val="FooterChar"/>
    <w:uiPriority w:val="99"/>
    <w:unhideWhenUsed/>
    <w:rsid w:val="00FB5F39"/>
    <w:pPr>
      <w:tabs>
        <w:tab w:val="center" w:pos="4680"/>
        <w:tab w:val="right" w:pos="9360"/>
      </w:tabs>
    </w:pPr>
  </w:style>
  <w:style w:type="character" w:customStyle="1" w:styleId="FooterChar">
    <w:name w:val="Footer Char"/>
    <w:basedOn w:val="DefaultParagraphFont"/>
    <w:link w:val="Footer"/>
    <w:uiPriority w:val="99"/>
    <w:rsid w:val="00FB5F39"/>
    <w:rPr>
      <w:rFonts w:ascii="Times New Roman" w:hAnsi="Times New Roman"/>
      <w:sz w:val="24"/>
    </w:rPr>
  </w:style>
  <w:style w:type="paragraph" w:styleId="BalloonText">
    <w:name w:val="Balloon Text"/>
    <w:basedOn w:val="Normal"/>
    <w:link w:val="BalloonTextChar"/>
    <w:uiPriority w:val="99"/>
    <w:semiHidden/>
    <w:unhideWhenUsed/>
    <w:rsid w:val="00FB5F39"/>
    <w:rPr>
      <w:rFonts w:ascii="Tahoma" w:hAnsi="Tahoma" w:cs="Tahoma"/>
      <w:sz w:val="16"/>
      <w:szCs w:val="16"/>
    </w:rPr>
  </w:style>
  <w:style w:type="character" w:customStyle="1" w:styleId="BalloonTextChar">
    <w:name w:val="Balloon Text Char"/>
    <w:basedOn w:val="DefaultParagraphFont"/>
    <w:link w:val="BalloonText"/>
    <w:uiPriority w:val="99"/>
    <w:semiHidden/>
    <w:rsid w:val="00FB5F39"/>
    <w:rPr>
      <w:rFonts w:ascii="Tahoma" w:hAnsi="Tahoma" w:cs="Tahoma"/>
      <w:sz w:val="16"/>
      <w:szCs w:val="16"/>
    </w:rPr>
  </w:style>
  <w:style w:type="paragraph" w:styleId="FootnoteText">
    <w:name w:val="footnote text"/>
    <w:basedOn w:val="Normal"/>
    <w:link w:val="FootnoteTextChar"/>
    <w:uiPriority w:val="99"/>
    <w:semiHidden/>
    <w:unhideWhenUsed/>
    <w:rsid w:val="00744DA6"/>
    <w:rPr>
      <w:sz w:val="20"/>
      <w:szCs w:val="20"/>
    </w:rPr>
  </w:style>
  <w:style w:type="character" w:customStyle="1" w:styleId="FootnoteTextChar">
    <w:name w:val="Footnote Text Char"/>
    <w:basedOn w:val="DefaultParagraphFont"/>
    <w:link w:val="FootnoteText"/>
    <w:uiPriority w:val="99"/>
    <w:semiHidden/>
    <w:rsid w:val="00744DA6"/>
    <w:rPr>
      <w:rFonts w:ascii="Times New Roman" w:hAnsi="Times New Roman"/>
      <w:sz w:val="20"/>
      <w:szCs w:val="20"/>
    </w:rPr>
  </w:style>
  <w:style w:type="character" w:styleId="FootnoteReference">
    <w:name w:val="footnote reference"/>
    <w:basedOn w:val="DefaultParagraphFont"/>
    <w:uiPriority w:val="99"/>
    <w:semiHidden/>
    <w:unhideWhenUsed/>
    <w:rsid w:val="00744DA6"/>
    <w:rPr>
      <w:vertAlign w:val="superscript"/>
    </w:rPr>
  </w:style>
  <w:style w:type="character" w:styleId="FollowedHyperlink">
    <w:name w:val="FollowedHyperlink"/>
    <w:basedOn w:val="DefaultParagraphFont"/>
    <w:uiPriority w:val="99"/>
    <w:semiHidden/>
    <w:unhideWhenUsed/>
    <w:rsid w:val="00AC60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centercompliance.com/subscriber/pca-toolkit/volume-2/87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althcentercompliance.com/subscriber/pca-toolkit/volume-2/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31BC-37FE-4118-B649-6C51DDC5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Zimbro, Karen</cp:lastModifiedBy>
  <cp:revision>3</cp:revision>
  <cp:lastPrinted>2015-11-12T16:30:00Z</cp:lastPrinted>
  <dcterms:created xsi:type="dcterms:W3CDTF">2015-11-12T16:26:00Z</dcterms:created>
  <dcterms:modified xsi:type="dcterms:W3CDTF">2015-11-12T16:32:00Z</dcterms:modified>
</cp:coreProperties>
</file>