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EB931" w14:textId="0DFE05E6" w:rsidR="005A6839" w:rsidRPr="005C2410" w:rsidRDefault="005A6839" w:rsidP="005A6839">
      <w:pPr>
        <w:autoSpaceDE w:val="0"/>
        <w:autoSpaceDN w:val="0"/>
        <w:adjustRightInd w:val="0"/>
        <w:spacing w:before="11"/>
        <w:jc w:val="center"/>
        <w:rPr>
          <w:b/>
          <w:spacing w:val="0"/>
          <w:kern w:val="2"/>
          <w:sz w:val="32"/>
          <w:szCs w:val="32"/>
        </w:rPr>
      </w:pPr>
      <w:r w:rsidRPr="005C2410">
        <w:rPr>
          <w:b/>
          <w:spacing w:val="0"/>
          <w:kern w:val="2"/>
          <w:sz w:val="32"/>
          <w:szCs w:val="32"/>
        </w:rPr>
        <w:t>Federal Election Campaign Act</w:t>
      </w:r>
      <w:r w:rsidR="00641C66" w:rsidRPr="005C2410">
        <w:rPr>
          <w:b/>
          <w:spacing w:val="0"/>
          <w:kern w:val="2"/>
          <w:sz w:val="32"/>
          <w:szCs w:val="32"/>
        </w:rPr>
        <w:t>: Introductory Guidance</w:t>
      </w:r>
    </w:p>
    <w:p w14:paraId="18F35B1B" w14:textId="77777777" w:rsidR="005A6839" w:rsidRPr="005C2410" w:rsidRDefault="005A6839" w:rsidP="005A6839">
      <w:pPr>
        <w:pBdr>
          <w:bottom w:val="single" w:sz="12" w:space="1" w:color="auto"/>
        </w:pBdr>
        <w:autoSpaceDE w:val="0"/>
        <w:autoSpaceDN w:val="0"/>
        <w:adjustRightInd w:val="0"/>
        <w:ind w:right="-20"/>
        <w:rPr>
          <w:b/>
          <w:bCs w:val="0"/>
          <w:spacing w:val="0"/>
          <w:kern w:val="2"/>
        </w:rPr>
      </w:pPr>
    </w:p>
    <w:p w14:paraId="4AFAC72A" w14:textId="77777777" w:rsidR="00DB37B6" w:rsidRPr="005C2410" w:rsidRDefault="00DB37B6" w:rsidP="00DB37B6">
      <w:pPr>
        <w:rPr>
          <w:spacing w:val="0"/>
          <w:kern w:val="2"/>
        </w:rPr>
      </w:pPr>
    </w:p>
    <w:p w14:paraId="11B7847B" w14:textId="5F507F19" w:rsidR="00DB37B6" w:rsidRPr="005C2410" w:rsidRDefault="00641C66" w:rsidP="00641C66">
      <w:pPr>
        <w:rPr>
          <w:spacing w:val="0"/>
          <w:kern w:val="2"/>
        </w:rPr>
      </w:pPr>
      <w:r w:rsidRPr="005C2410">
        <w:rPr>
          <w:b/>
          <w:spacing w:val="0"/>
          <w:kern w:val="2"/>
        </w:rPr>
        <w:t>Relevant Authority</w:t>
      </w:r>
    </w:p>
    <w:p w14:paraId="48621D94" w14:textId="77777777" w:rsidR="00DB37B6" w:rsidRPr="005C2410" w:rsidRDefault="00DB37B6" w:rsidP="00DB37B6">
      <w:pPr>
        <w:rPr>
          <w:b/>
          <w:spacing w:val="0"/>
          <w:kern w:val="2"/>
        </w:rPr>
      </w:pPr>
    </w:p>
    <w:p w14:paraId="771587C3" w14:textId="66669250" w:rsidR="00DB37B6" w:rsidRPr="005C2410" w:rsidRDefault="00DB37B6" w:rsidP="009F6485">
      <w:pPr>
        <w:jc w:val="both"/>
        <w:rPr>
          <w:spacing w:val="0"/>
          <w:kern w:val="2"/>
        </w:rPr>
      </w:pPr>
      <w:r w:rsidRPr="005C2410">
        <w:rPr>
          <w:spacing w:val="0"/>
          <w:kern w:val="2"/>
        </w:rPr>
        <w:t>The Federal Election Campaign Act</w:t>
      </w:r>
      <w:r w:rsidR="00641C66" w:rsidRPr="005C2410">
        <w:rPr>
          <w:rStyle w:val="FootnoteReference"/>
          <w:spacing w:val="0"/>
          <w:kern w:val="2"/>
        </w:rPr>
        <w:footnoteReference w:id="1"/>
      </w:r>
      <w:r w:rsidRPr="005C2410">
        <w:rPr>
          <w:spacing w:val="0"/>
          <w:kern w:val="2"/>
        </w:rPr>
        <w:t xml:space="preserve"> </w:t>
      </w:r>
      <w:r w:rsidR="00641C66" w:rsidRPr="005C2410">
        <w:rPr>
          <w:spacing w:val="0"/>
          <w:kern w:val="2"/>
        </w:rPr>
        <w:t xml:space="preserve">prohibits a corporation </w:t>
      </w:r>
      <w:r w:rsidRPr="005C2410">
        <w:rPr>
          <w:spacing w:val="0"/>
          <w:kern w:val="2"/>
        </w:rPr>
        <w:t>from making a contribution or expe</w:t>
      </w:r>
      <w:r w:rsidR="005A6839" w:rsidRPr="005C2410">
        <w:rPr>
          <w:spacing w:val="0"/>
          <w:kern w:val="2"/>
        </w:rPr>
        <w:t>nditure in connection with any f</w:t>
      </w:r>
      <w:r w:rsidRPr="005C2410">
        <w:rPr>
          <w:spacing w:val="0"/>
          <w:kern w:val="2"/>
        </w:rPr>
        <w:t>ederal election, that is an election for President, Senate, or the House o</w:t>
      </w:r>
      <w:bookmarkStart w:id="0" w:name="_GoBack"/>
      <w:bookmarkEnd w:id="0"/>
      <w:r w:rsidRPr="005C2410">
        <w:rPr>
          <w:spacing w:val="0"/>
          <w:kern w:val="2"/>
        </w:rPr>
        <w:t>f representatives,</w:t>
      </w:r>
      <w:r w:rsidR="005A6839" w:rsidRPr="005C2410">
        <w:rPr>
          <w:spacing w:val="0"/>
          <w:kern w:val="2"/>
        </w:rPr>
        <w:t xml:space="preserve"> or any primary election for a f</w:t>
      </w:r>
      <w:r w:rsidRPr="005C2410">
        <w:rPr>
          <w:spacing w:val="0"/>
          <w:kern w:val="2"/>
        </w:rPr>
        <w:t xml:space="preserve">ederal candidate. Contributions and expenditure are broadly defined and include not only contributions to a candidate or a candidate committee, but in- kind contributions and expenditures on behalf of a candidate, such as political advertising. </w:t>
      </w:r>
    </w:p>
    <w:p w14:paraId="3E8EC5B1" w14:textId="77777777" w:rsidR="00641C66" w:rsidRPr="005C2410" w:rsidRDefault="00641C66" w:rsidP="00641C66">
      <w:pPr>
        <w:rPr>
          <w:spacing w:val="0"/>
          <w:kern w:val="2"/>
        </w:rPr>
      </w:pPr>
    </w:p>
    <w:p w14:paraId="57B5B679" w14:textId="2E28C597" w:rsidR="00DB37B6" w:rsidRPr="005C2410" w:rsidRDefault="003C148A" w:rsidP="00641C66">
      <w:pPr>
        <w:rPr>
          <w:spacing w:val="0"/>
          <w:kern w:val="2"/>
        </w:rPr>
      </w:pPr>
      <w:r w:rsidRPr="005C2410">
        <w:rPr>
          <w:b/>
          <w:spacing w:val="0"/>
          <w:kern w:val="2"/>
        </w:rPr>
        <w:t>Advice and Recommenda</w:t>
      </w:r>
      <w:r w:rsidR="00DB37B6" w:rsidRPr="005C2410">
        <w:rPr>
          <w:b/>
          <w:spacing w:val="0"/>
          <w:kern w:val="2"/>
        </w:rPr>
        <w:t>tions</w:t>
      </w:r>
      <w:r w:rsidR="0066381F" w:rsidRPr="005C2410">
        <w:rPr>
          <w:rStyle w:val="FootnoteReference"/>
          <w:b/>
          <w:spacing w:val="0"/>
          <w:kern w:val="2"/>
        </w:rPr>
        <w:footnoteReference w:id="2"/>
      </w:r>
    </w:p>
    <w:p w14:paraId="71262EB3" w14:textId="77777777" w:rsidR="00DB37B6" w:rsidRPr="005C2410" w:rsidRDefault="00DB37B6" w:rsidP="00DB37B6">
      <w:pPr>
        <w:rPr>
          <w:b/>
          <w:spacing w:val="0"/>
          <w:kern w:val="2"/>
        </w:rPr>
      </w:pPr>
    </w:p>
    <w:p w14:paraId="60DA74B3" w14:textId="4EFA7350" w:rsidR="00DB37B6" w:rsidRPr="005C2410" w:rsidRDefault="00DB37B6" w:rsidP="009F6485">
      <w:pPr>
        <w:jc w:val="both"/>
        <w:rPr>
          <w:spacing w:val="0"/>
          <w:kern w:val="2"/>
        </w:rPr>
      </w:pPr>
      <w:r w:rsidRPr="005C2410">
        <w:rPr>
          <w:spacing w:val="0"/>
          <w:kern w:val="2"/>
        </w:rPr>
        <w:t>The Federal Election Campaign Act applies t</w:t>
      </w:r>
      <w:r w:rsidR="000B4946" w:rsidRPr="005C2410">
        <w:rPr>
          <w:spacing w:val="0"/>
          <w:kern w:val="2"/>
        </w:rPr>
        <w:t>o all corporations, not just</w:t>
      </w:r>
      <w:r w:rsidRPr="005C2410">
        <w:rPr>
          <w:spacing w:val="0"/>
          <w:kern w:val="2"/>
        </w:rPr>
        <w:t xml:space="preserve"> tax-exempt corp</w:t>
      </w:r>
      <w:r w:rsidR="00641C66" w:rsidRPr="005C2410">
        <w:rPr>
          <w:spacing w:val="0"/>
          <w:kern w:val="2"/>
        </w:rPr>
        <w:t>orations. W</w:t>
      </w:r>
      <w:r w:rsidR="005A6839" w:rsidRPr="005C2410">
        <w:rPr>
          <w:spacing w:val="0"/>
          <w:kern w:val="2"/>
        </w:rPr>
        <w:t>hile the A</w:t>
      </w:r>
      <w:r w:rsidRPr="005C2410">
        <w:rPr>
          <w:spacing w:val="0"/>
          <w:kern w:val="2"/>
        </w:rPr>
        <w:t>ct applies only to corporate expen</w:t>
      </w:r>
      <w:r w:rsidR="005A6839" w:rsidRPr="005C2410">
        <w:rPr>
          <w:spacing w:val="0"/>
          <w:kern w:val="2"/>
        </w:rPr>
        <w:t>ditures in a federal election, s</w:t>
      </w:r>
      <w:r w:rsidRPr="005C2410">
        <w:rPr>
          <w:spacing w:val="0"/>
          <w:kern w:val="2"/>
        </w:rPr>
        <w:t xml:space="preserve">tate law also may regulate corporate political campaign activity. </w:t>
      </w:r>
    </w:p>
    <w:p w14:paraId="37BBD19E" w14:textId="77777777" w:rsidR="00DB37B6" w:rsidRPr="005C2410" w:rsidRDefault="00DB37B6" w:rsidP="009F6485">
      <w:pPr>
        <w:jc w:val="both"/>
        <w:rPr>
          <w:spacing w:val="0"/>
          <w:kern w:val="2"/>
        </w:rPr>
      </w:pPr>
    </w:p>
    <w:p w14:paraId="3B656507" w14:textId="6FC7784A" w:rsidR="00DB37B6" w:rsidRPr="005C2410" w:rsidRDefault="00641C66" w:rsidP="009F6485">
      <w:pPr>
        <w:jc w:val="both"/>
        <w:rPr>
          <w:spacing w:val="0"/>
          <w:kern w:val="2"/>
        </w:rPr>
      </w:pPr>
      <w:r w:rsidRPr="005C2410">
        <w:rPr>
          <w:spacing w:val="0"/>
          <w:kern w:val="2"/>
        </w:rPr>
        <w:t xml:space="preserve">A </w:t>
      </w:r>
      <w:r w:rsidR="00DB37B6" w:rsidRPr="005C2410">
        <w:rPr>
          <w:spacing w:val="0"/>
          <w:kern w:val="2"/>
        </w:rPr>
        <w:t>PCA</w:t>
      </w:r>
      <w:r w:rsidRPr="005C2410">
        <w:rPr>
          <w:spacing w:val="0"/>
          <w:kern w:val="2"/>
        </w:rPr>
        <w:t>-HCCN</w:t>
      </w:r>
      <w:r w:rsidR="00DB37B6" w:rsidRPr="005C2410">
        <w:rPr>
          <w:spacing w:val="0"/>
          <w:kern w:val="2"/>
        </w:rPr>
        <w:t xml:space="preserve"> that is tax-exempt under IRC Section 501(c)(4) or (c)(6) may attempt</w:t>
      </w:r>
      <w:r w:rsidR="005A6839" w:rsidRPr="005C2410">
        <w:rPr>
          <w:spacing w:val="0"/>
          <w:kern w:val="2"/>
        </w:rPr>
        <w:t xml:space="preserve"> to influence the outcome of a f</w:t>
      </w:r>
      <w:r w:rsidR="00DB37B6" w:rsidRPr="005C2410">
        <w:rPr>
          <w:spacing w:val="0"/>
          <w:kern w:val="2"/>
        </w:rPr>
        <w:t>ederal election by establishing a separate segregated fund (“SSF”), sometimes referred to as a political action committee</w:t>
      </w:r>
      <w:r w:rsidR="005A6839" w:rsidRPr="005C2410">
        <w:rPr>
          <w:spacing w:val="0"/>
          <w:kern w:val="2"/>
        </w:rPr>
        <w:t xml:space="preserve"> (“PAC”)</w:t>
      </w:r>
      <w:r w:rsidRPr="005C2410">
        <w:rPr>
          <w:spacing w:val="0"/>
          <w:kern w:val="2"/>
        </w:rPr>
        <w:t xml:space="preserve">. </w:t>
      </w:r>
      <w:r w:rsidR="00DB37B6" w:rsidRPr="005C2410">
        <w:rPr>
          <w:spacing w:val="0"/>
          <w:kern w:val="2"/>
        </w:rPr>
        <w:t>The SSF may solicit contributions to be used in connection with a federal political campaign and make contributions to candidates and otherwise engage in advocacy on behalf of or</w:t>
      </w:r>
      <w:r w:rsidRPr="005C2410">
        <w:rPr>
          <w:spacing w:val="0"/>
          <w:kern w:val="2"/>
        </w:rPr>
        <w:t xml:space="preserve"> in opposition to a candidate. </w:t>
      </w:r>
      <w:r w:rsidR="00DB37B6" w:rsidRPr="005C2410">
        <w:rPr>
          <w:spacing w:val="0"/>
          <w:kern w:val="2"/>
        </w:rPr>
        <w:t>The sponsoring corporation may pay all of the overhead expenses of the SSF, i</w:t>
      </w:r>
      <w:r w:rsidRPr="005C2410">
        <w:rPr>
          <w:spacing w:val="0"/>
          <w:kern w:val="2"/>
        </w:rPr>
        <w:t xml:space="preserve">ncluding fundraising expenses. </w:t>
      </w:r>
      <w:r w:rsidR="00DB37B6" w:rsidRPr="005C2410">
        <w:rPr>
          <w:spacing w:val="0"/>
          <w:kern w:val="2"/>
        </w:rPr>
        <w:t>Because such support is considered to be political campaign intervention, a Section 501(c)(3) organization may not establish and support an SSF.</w:t>
      </w:r>
    </w:p>
    <w:p w14:paraId="3BE19416" w14:textId="77777777" w:rsidR="00DB37B6" w:rsidRPr="005C2410" w:rsidRDefault="00DB37B6" w:rsidP="009F6485">
      <w:pPr>
        <w:jc w:val="both"/>
        <w:rPr>
          <w:spacing w:val="0"/>
          <w:kern w:val="2"/>
        </w:rPr>
      </w:pPr>
    </w:p>
    <w:p w14:paraId="57FAE1F6" w14:textId="157B3039" w:rsidR="00DB37B6" w:rsidRPr="005C2410" w:rsidRDefault="00DB37B6" w:rsidP="009F6485">
      <w:pPr>
        <w:jc w:val="both"/>
        <w:rPr>
          <w:spacing w:val="0"/>
          <w:kern w:val="2"/>
        </w:rPr>
      </w:pPr>
      <w:r w:rsidRPr="005C2410">
        <w:rPr>
          <w:spacing w:val="0"/>
          <w:kern w:val="2"/>
        </w:rPr>
        <w:t>There are, however, substantial restrictions on the individuals whom an SSF can solici</w:t>
      </w:r>
      <w:r w:rsidR="00641C66" w:rsidRPr="005C2410">
        <w:rPr>
          <w:spacing w:val="0"/>
          <w:kern w:val="2"/>
        </w:rPr>
        <w:t xml:space="preserve">t for or accept contributions. </w:t>
      </w:r>
      <w:r w:rsidRPr="005C2410">
        <w:rPr>
          <w:spacing w:val="0"/>
          <w:kern w:val="2"/>
        </w:rPr>
        <w:t>Generally, solicitation is limited to the executives and administrative employees of the sponsoring organization and, if the sponsoring organization is a trade association, executives and administrative employees of member organizations, provided that the member organization has first given its permission for any solicitation.</w:t>
      </w:r>
    </w:p>
    <w:p w14:paraId="4EBB8FA1" w14:textId="77777777" w:rsidR="003A7D58" w:rsidRPr="005C2410" w:rsidRDefault="003A7D58" w:rsidP="009F6485">
      <w:pPr>
        <w:ind w:firstLine="720"/>
        <w:jc w:val="both"/>
        <w:rPr>
          <w:spacing w:val="0"/>
          <w:kern w:val="2"/>
        </w:rPr>
      </w:pPr>
    </w:p>
    <w:p w14:paraId="0C81F799" w14:textId="13A2C757" w:rsidR="003A7D58" w:rsidRPr="005C2410" w:rsidRDefault="003A7D58" w:rsidP="009F6485">
      <w:pPr>
        <w:jc w:val="both"/>
        <w:rPr>
          <w:spacing w:val="0"/>
          <w:kern w:val="2"/>
        </w:rPr>
      </w:pPr>
      <w:r w:rsidRPr="005C2410">
        <w:rPr>
          <w:spacing w:val="0"/>
          <w:kern w:val="2"/>
        </w:rPr>
        <w:t xml:space="preserve">As a result of the Supreme Court’s decision in </w:t>
      </w:r>
      <w:r w:rsidRPr="005C2410">
        <w:rPr>
          <w:spacing w:val="0"/>
          <w:kern w:val="2"/>
          <w:u w:val="single"/>
        </w:rPr>
        <w:t>Citizens United v. FEC,</w:t>
      </w:r>
      <w:r w:rsidRPr="005C2410">
        <w:rPr>
          <w:spacing w:val="0"/>
          <w:kern w:val="2"/>
        </w:rPr>
        <w:t xml:space="preserve"> corporati</w:t>
      </w:r>
      <w:r w:rsidR="005A6839" w:rsidRPr="005C2410">
        <w:rPr>
          <w:spacing w:val="0"/>
          <w:kern w:val="2"/>
        </w:rPr>
        <w:t>ons (but not those exempt from f</w:t>
      </w:r>
      <w:r w:rsidRPr="005C2410">
        <w:rPr>
          <w:spacing w:val="0"/>
          <w:kern w:val="2"/>
        </w:rPr>
        <w:t>ederal income tax under IRC Section 501(c)(3)) are permitted to make expenditures for communications that expressly advocate the election or defeat of a cle</w:t>
      </w:r>
      <w:r w:rsidR="005A6839" w:rsidRPr="005C2410">
        <w:rPr>
          <w:spacing w:val="0"/>
          <w:kern w:val="2"/>
        </w:rPr>
        <w:t>arly identified candidate in a f</w:t>
      </w:r>
      <w:r w:rsidRPr="005C2410">
        <w:rPr>
          <w:spacing w:val="0"/>
          <w:kern w:val="2"/>
        </w:rPr>
        <w:t xml:space="preserve">ederal election, provided that the communication is made without the </w:t>
      </w:r>
      <w:r w:rsidRPr="005C2410">
        <w:rPr>
          <w:spacing w:val="0"/>
          <w:kern w:val="2"/>
        </w:rPr>
        <w:lastRenderedPageBreak/>
        <w:t>request or suggestion of or in cooperation with the</w:t>
      </w:r>
      <w:r w:rsidR="00641C66" w:rsidRPr="005C2410">
        <w:rPr>
          <w:spacing w:val="0"/>
          <w:kern w:val="2"/>
        </w:rPr>
        <w:t xml:space="preserve"> candidate or a political party. </w:t>
      </w:r>
      <w:r w:rsidR="005A6839" w:rsidRPr="005C2410">
        <w:rPr>
          <w:spacing w:val="0"/>
          <w:kern w:val="2"/>
        </w:rPr>
        <w:t>Note that f</w:t>
      </w:r>
      <w:r w:rsidR="00F11D8F" w:rsidRPr="005C2410">
        <w:rPr>
          <w:spacing w:val="0"/>
          <w:kern w:val="2"/>
        </w:rPr>
        <w:t>ederal funds cannot be used to pay the costs of such communication.</w:t>
      </w:r>
    </w:p>
    <w:p w14:paraId="71044F78" w14:textId="77777777" w:rsidR="00DB37B6" w:rsidRPr="005C2410" w:rsidRDefault="00DB37B6" w:rsidP="009F6485">
      <w:pPr>
        <w:ind w:left="720"/>
        <w:jc w:val="both"/>
        <w:rPr>
          <w:spacing w:val="0"/>
          <w:kern w:val="2"/>
        </w:rPr>
      </w:pPr>
    </w:p>
    <w:p w14:paraId="66336A2B" w14:textId="2A0BBCC4" w:rsidR="00DB37B6" w:rsidRPr="005C2410" w:rsidRDefault="005C2410" w:rsidP="009F6485">
      <w:pPr>
        <w:pStyle w:val="ListParagraph"/>
        <w:numPr>
          <w:ilvl w:val="0"/>
          <w:numId w:val="6"/>
        </w:numPr>
        <w:rPr>
          <w:spacing w:val="0"/>
          <w:kern w:val="2"/>
        </w:rPr>
      </w:pPr>
      <w:hyperlink r:id="rId9" w:history="1">
        <w:r w:rsidR="0087728D" w:rsidRPr="005C2410">
          <w:rPr>
            <w:rStyle w:val="Hyperlink"/>
            <w:spacing w:val="0"/>
            <w:kern w:val="2"/>
          </w:rPr>
          <w:t>Lobbying and p</w:t>
        </w:r>
        <w:r w:rsidR="00DB37B6" w:rsidRPr="005C2410">
          <w:rPr>
            <w:rStyle w:val="Hyperlink"/>
            <w:spacing w:val="0"/>
            <w:kern w:val="2"/>
          </w:rPr>
          <w:t>o</w:t>
        </w:r>
        <w:r w:rsidR="0087728D" w:rsidRPr="005C2410">
          <w:rPr>
            <w:rStyle w:val="Hyperlink"/>
            <w:spacing w:val="0"/>
            <w:kern w:val="2"/>
          </w:rPr>
          <w:t>litical campaign a</w:t>
        </w:r>
        <w:r w:rsidR="00DB37B6" w:rsidRPr="005C2410">
          <w:rPr>
            <w:rStyle w:val="Hyperlink"/>
            <w:spacing w:val="0"/>
            <w:kern w:val="2"/>
          </w:rPr>
          <w:t>ctivities</w:t>
        </w:r>
      </w:hyperlink>
      <w:r w:rsidR="0087728D" w:rsidRPr="005C2410">
        <w:rPr>
          <w:rStyle w:val="Hyperlink"/>
          <w:spacing w:val="0"/>
          <w:kern w:val="2"/>
        </w:rPr>
        <w:t>: Sample policy and procedure</w:t>
      </w:r>
    </w:p>
    <w:p w14:paraId="5D7CDD91" w14:textId="77777777" w:rsidR="00DB37B6" w:rsidRPr="005C2410" w:rsidRDefault="00DB37B6" w:rsidP="00DB37B6">
      <w:pPr>
        <w:rPr>
          <w:b/>
          <w:bCs w:val="0"/>
          <w:spacing w:val="0"/>
          <w:kern w:val="2"/>
        </w:rPr>
      </w:pPr>
    </w:p>
    <w:p w14:paraId="1A4CFDBD" w14:textId="77777777" w:rsidR="0000738F" w:rsidRPr="005C2410" w:rsidRDefault="0000738F" w:rsidP="00947EDD">
      <w:pPr>
        <w:rPr>
          <w:spacing w:val="0"/>
          <w:kern w:val="2"/>
        </w:rPr>
      </w:pPr>
    </w:p>
    <w:sectPr w:rsidR="0000738F" w:rsidRPr="005C2410" w:rsidSect="00FD7435">
      <w:headerReference w:type="default" r:id="rId10"/>
      <w:footerReference w:type="default" r:id="rId11"/>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B912D" w14:textId="77777777" w:rsidR="00DB789A" w:rsidRDefault="00DB789A" w:rsidP="005A6839">
      <w:r>
        <w:separator/>
      </w:r>
    </w:p>
  </w:endnote>
  <w:endnote w:type="continuationSeparator" w:id="0">
    <w:p w14:paraId="295FC982" w14:textId="77777777" w:rsidR="00DB789A" w:rsidRDefault="00DB789A" w:rsidP="005A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77150" w14:textId="77777777" w:rsidR="005A6839" w:rsidRPr="006B59DD" w:rsidRDefault="005A6839" w:rsidP="005A6839">
    <w:pPr>
      <w:pBdr>
        <w:bottom w:val="single" w:sz="12" w:space="0" w:color="auto"/>
      </w:pBdr>
      <w:rPr>
        <w:rFonts w:eastAsia="Calibri"/>
        <w:bCs w:val="0"/>
        <w:sz w:val="20"/>
        <w:szCs w:val="20"/>
      </w:rPr>
    </w:pPr>
  </w:p>
  <w:p w14:paraId="0C32E34E" w14:textId="77777777" w:rsidR="005A6839" w:rsidRPr="006B59DD" w:rsidRDefault="005A6839" w:rsidP="005A6839">
    <w:pPr>
      <w:tabs>
        <w:tab w:val="left" w:pos="2340"/>
      </w:tabs>
      <w:jc w:val="center"/>
      <w:rPr>
        <w:rFonts w:eastAsia="Calibri"/>
        <w:bCs w:val="0"/>
        <w:sz w:val="20"/>
        <w:szCs w:val="20"/>
      </w:rPr>
    </w:pPr>
  </w:p>
  <w:p w14:paraId="1746E7A1" w14:textId="10E9B037" w:rsidR="005A6839" w:rsidRPr="006B59DD" w:rsidRDefault="00BB75B6" w:rsidP="005A6839">
    <w:pPr>
      <w:tabs>
        <w:tab w:val="left" w:pos="2340"/>
      </w:tabs>
      <w:jc w:val="center"/>
      <w:rPr>
        <w:rFonts w:eastAsia="Calibri"/>
        <w:bCs w:val="0"/>
        <w:sz w:val="20"/>
        <w:szCs w:val="20"/>
      </w:rPr>
    </w:pPr>
    <w:r>
      <w:rPr>
        <w:rFonts w:eastAsia="Calibri"/>
        <w:sz w:val="20"/>
        <w:szCs w:val="20"/>
      </w:rPr>
      <w:t xml:space="preserve">The </w:t>
    </w:r>
    <w:r w:rsidR="005A6839" w:rsidRPr="006B59DD">
      <w:rPr>
        <w:rFonts w:eastAsia="Calibri"/>
        <w:sz w:val="20"/>
        <w:szCs w:val="20"/>
      </w:rPr>
      <w:t>Corporate Compliance Toolkit</w:t>
    </w:r>
    <w:r>
      <w:rPr>
        <w:rFonts w:eastAsia="Calibri"/>
        <w:sz w:val="20"/>
        <w:szCs w:val="20"/>
      </w:rPr>
      <w:t xml:space="preserve"> for PCAs-HCCNs</w:t>
    </w:r>
  </w:p>
  <w:p w14:paraId="1630B91F" w14:textId="2C723119" w:rsidR="005A6839" w:rsidRPr="006B59DD" w:rsidRDefault="00BB75B6" w:rsidP="005A6839">
    <w:pPr>
      <w:tabs>
        <w:tab w:val="left" w:pos="2340"/>
      </w:tabs>
      <w:jc w:val="center"/>
      <w:rPr>
        <w:rFonts w:eastAsia="Calibri"/>
        <w:bCs w:val="0"/>
        <w:sz w:val="20"/>
        <w:szCs w:val="20"/>
        <w:lang w:val="de-DE"/>
      </w:rPr>
    </w:pPr>
    <w:r>
      <w:rPr>
        <w:rFonts w:eastAsia="Calibri"/>
        <w:sz w:val="20"/>
        <w:szCs w:val="20"/>
        <w:lang w:val="de-DE"/>
      </w:rPr>
      <w:t>© 2015</w:t>
    </w:r>
    <w:r w:rsidR="005A6839" w:rsidRPr="006B59DD">
      <w:rPr>
        <w:rFonts w:eastAsia="Calibri"/>
        <w:sz w:val="20"/>
        <w:szCs w:val="20"/>
        <w:lang w:val="de-DE"/>
      </w:rPr>
      <w:t xml:space="preserve"> </w:t>
    </w:r>
    <w:r w:rsidR="005A6839" w:rsidRPr="006B59DD">
      <w:rPr>
        <w:rFonts w:eastAsia="Calibri"/>
        <w:sz w:val="20"/>
        <w:szCs w:val="20"/>
      </w:rPr>
      <w:t>National Association of Community Health Centers, Inc.</w:t>
    </w:r>
  </w:p>
  <w:p w14:paraId="663AA57D" w14:textId="77777777" w:rsidR="005A6839" w:rsidRPr="006B59DD" w:rsidRDefault="005A6839" w:rsidP="005A6839">
    <w:pPr>
      <w:tabs>
        <w:tab w:val="left" w:pos="2340"/>
      </w:tabs>
      <w:jc w:val="center"/>
      <w:rPr>
        <w:rFonts w:eastAsia="Calibri"/>
        <w:bCs w:val="0"/>
        <w:sz w:val="20"/>
        <w:szCs w:val="20"/>
        <w:lang w:val="de-DE"/>
      </w:rPr>
    </w:pPr>
    <w:r w:rsidRPr="006B59DD">
      <w:rPr>
        <w:rFonts w:eastAsia="Calibri"/>
        <w:sz w:val="20"/>
        <w:szCs w:val="20"/>
        <w:lang w:val="de-DE"/>
      </w:rPr>
      <w:t>and Feldesman Tucker Leifer Fidell LLP</w:t>
    </w:r>
  </w:p>
  <w:p w14:paraId="72EB9455" w14:textId="77777777" w:rsidR="005A6839" w:rsidRPr="006B59DD" w:rsidRDefault="005A6839" w:rsidP="005A6839">
    <w:pPr>
      <w:tabs>
        <w:tab w:val="left" w:pos="2340"/>
      </w:tabs>
      <w:jc w:val="center"/>
      <w:rPr>
        <w:rFonts w:eastAsia="Calibri"/>
        <w:bCs w:val="0"/>
        <w:sz w:val="20"/>
        <w:szCs w:val="20"/>
      </w:rPr>
    </w:pPr>
  </w:p>
  <w:p w14:paraId="52A67E9C" w14:textId="77777777" w:rsidR="005A6839" w:rsidRPr="005A6839" w:rsidRDefault="005A6839" w:rsidP="005A6839">
    <w:pPr>
      <w:tabs>
        <w:tab w:val="left" w:pos="2340"/>
      </w:tabs>
      <w:jc w:val="center"/>
      <w:rPr>
        <w:rFonts w:eastAsia="Calibri"/>
        <w:sz w:val="20"/>
        <w:szCs w:val="20"/>
        <w:lang w:val="de-DE"/>
      </w:rPr>
    </w:pPr>
    <w:r w:rsidRPr="006B59DD">
      <w:rPr>
        <w:rFonts w:eastAsia="Calibri"/>
        <w:bCs w:val="0"/>
        <w:sz w:val="20"/>
        <w:szCs w:val="20"/>
      </w:rPr>
      <w:fldChar w:fldCharType="begin"/>
    </w:r>
    <w:r w:rsidRPr="006B59DD">
      <w:rPr>
        <w:rFonts w:eastAsia="Calibri"/>
        <w:sz w:val="20"/>
        <w:szCs w:val="20"/>
      </w:rPr>
      <w:instrText xml:space="preserve"> PAGE </w:instrText>
    </w:r>
    <w:r w:rsidRPr="006B59DD">
      <w:rPr>
        <w:rFonts w:eastAsia="Calibri"/>
        <w:bCs w:val="0"/>
        <w:sz w:val="20"/>
        <w:szCs w:val="20"/>
      </w:rPr>
      <w:fldChar w:fldCharType="separate"/>
    </w:r>
    <w:r w:rsidR="005C2410">
      <w:rPr>
        <w:rFonts w:eastAsia="Calibri"/>
        <w:noProof/>
        <w:sz w:val="20"/>
        <w:szCs w:val="20"/>
      </w:rPr>
      <w:t>1</w:t>
    </w:r>
    <w:r w:rsidRPr="006B59DD">
      <w:rPr>
        <w:rFonts w:eastAsia="Calibri"/>
        <w:bCs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71B99" w14:textId="77777777" w:rsidR="00DB789A" w:rsidRDefault="00DB789A" w:rsidP="005A6839">
      <w:r>
        <w:separator/>
      </w:r>
    </w:p>
  </w:footnote>
  <w:footnote w:type="continuationSeparator" w:id="0">
    <w:p w14:paraId="6A206D64" w14:textId="77777777" w:rsidR="00DB789A" w:rsidRDefault="00DB789A" w:rsidP="005A6839">
      <w:r>
        <w:continuationSeparator/>
      </w:r>
    </w:p>
  </w:footnote>
  <w:footnote w:id="1">
    <w:p w14:paraId="6C7F07EC" w14:textId="583C2C4E" w:rsidR="00641C66" w:rsidRPr="005C2410" w:rsidRDefault="00641C66" w:rsidP="00C912F5">
      <w:pPr>
        <w:pStyle w:val="FootnoteText"/>
        <w:ind w:left="360" w:hanging="360"/>
        <w:rPr>
          <w:spacing w:val="0"/>
          <w:kern w:val="2"/>
        </w:rPr>
      </w:pPr>
      <w:r>
        <w:rPr>
          <w:rStyle w:val="FootnoteReference"/>
        </w:rPr>
        <w:footnoteRef/>
      </w:r>
      <w:r>
        <w:t xml:space="preserve"> </w:t>
      </w:r>
      <w:r w:rsidR="00C912F5">
        <w:tab/>
      </w:r>
      <w:r w:rsidRPr="005C2410">
        <w:rPr>
          <w:spacing w:val="0"/>
          <w:kern w:val="2"/>
        </w:rPr>
        <w:t>2 U.S.C. § 431 et seq.</w:t>
      </w:r>
    </w:p>
  </w:footnote>
  <w:footnote w:id="2">
    <w:p w14:paraId="584BA619" w14:textId="177C9A42" w:rsidR="0066381F" w:rsidRPr="005C2410" w:rsidRDefault="0066381F" w:rsidP="00C912F5">
      <w:pPr>
        <w:ind w:left="360" w:hanging="360"/>
        <w:rPr>
          <w:color w:val="000000"/>
          <w:spacing w:val="0"/>
          <w:kern w:val="2"/>
          <w:sz w:val="20"/>
          <w:szCs w:val="20"/>
        </w:rPr>
      </w:pPr>
      <w:r w:rsidRPr="005C2410">
        <w:rPr>
          <w:rStyle w:val="FootnoteReference"/>
          <w:spacing w:val="0"/>
          <w:kern w:val="2"/>
        </w:rPr>
        <w:footnoteRef/>
      </w:r>
      <w:r w:rsidRPr="005C2410">
        <w:rPr>
          <w:spacing w:val="0"/>
          <w:kern w:val="2"/>
        </w:rPr>
        <w:t xml:space="preserve"> </w:t>
      </w:r>
      <w:r w:rsidR="00C912F5" w:rsidRPr="005C2410">
        <w:rPr>
          <w:spacing w:val="0"/>
          <w:kern w:val="2"/>
        </w:rPr>
        <w:tab/>
      </w:r>
      <w:r w:rsidRPr="005C2410">
        <w:rPr>
          <w:color w:val="000000"/>
          <w:spacing w:val="0"/>
          <w:kern w:val="2"/>
          <w:sz w:val="20"/>
          <w:szCs w:val="20"/>
        </w:rPr>
        <w:t>The Authors of these materials include attorneys at the law firm of Feldesman Tucker Leifer Fidell LLP. The advice and recommendations consist of general guidance based on federal law and regulations and do not necessarily apply to all</w:t>
      </w:r>
      <w:r w:rsidR="000075BC" w:rsidRPr="005C2410">
        <w:rPr>
          <w:color w:val="000000"/>
          <w:spacing w:val="0"/>
          <w:kern w:val="2"/>
          <w:sz w:val="20"/>
          <w:szCs w:val="20"/>
        </w:rPr>
        <w:t xml:space="preserve"> </w:t>
      </w:r>
      <w:r w:rsidRPr="005C2410">
        <w:rPr>
          <w:color w:val="000000"/>
          <w:spacing w:val="0"/>
          <w:kern w:val="2"/>
          <w:sz w:val="20"/>
          <w:szCs w:val="20"/>
        </w:rPr>
        <w:t>PCAs</w:t>
      </w:r>
      <w:r w:rsidR="000075BC" w:rsidRPr="005C2410">
        <w:rPr>
          <w:color w:val="000000"/>
          <w:spacing w:val="0"/>
          <w:kern w:val="2"/>
          <w:sz w:val="20"/>
          <w:szCs w:val="20"/>
        </w:rPr>
        <w:t xml:space="preserve">-HCCNs </w:t>
      </w:r>
      <w:r w:rsidRPr="005C2410">
        <w:rPr>
          <w:color w:val="000000"/>
          <w:spacing w:val="0"/>
          <w:kern w:val="2"/>
          <w:sz w:val="20"/>
          <w:szCs w:val="20"/>
        </w:rPr>
        <w:t xml:space="preserve"> under all facts and circumstances. Further, these materials do not replace, and are not a substitute for, legal advice from qualified legal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A528E" w14:textId="38FA1F16" w:rsidR="005A6839" w:rsidRPr="00FD7435" w:rsidRDefault="005A6839" w:rsidP="005A6839">
    <w:pPr>
      <w:jc w:val="center"/>
      <w:rPr>
        <w:spacing w:val="0"/>
        <w:kern w:val="2"/>
        <w:sz w:val="20"/>
      </w:rPr>
    </w:pPr>
    <w:r w:rsidRPr="00FD7435">
      <w:rPr>
        <w:spacing w:val="0"/>
        <w:kern w:val="2"/>
        <w:sz w:val="20"/>
      </w:rPr>
      <w:t>V</w:t>
    </w:r>
    <w:r w:rsidR="00162F72" w:rsidRPr="00FD7435">
      <w:rPr>
        <w:spacing w:val="0"/>
        <w:kern w:val="2"/>
        <w:sz w:val="20"/>
      </w:rPr>
      <w:t xml:space="preserve">olume II: </w:t>
    </w:r>
    <w:r w:rsidRPr="00FD7435">
      <w:rPr>
        <w:spacing w:val="0"/>
        <w:kern w:val="2"/>
        <w:sz w:val="20"/>
      </w:rPr>
      <w:t>PCA</w:t>
    </w:r>
    <w:r w:rsidR="00162F72" w:rsidRPr="00FD7435">
      <w:rPr>
        <w:spacing w:val="0"/>
        <w:kern w:val="2"/>
        <w:sz w:val="20"/>
      </w:rPr>
      <w:t>-HCCN</w:t>
    </w:r>
    <w:r w:rsidRPr="00FD7435">
      <w:rPr>
        <w:spacing w:val="0"/>
        <w:kern w:val="2"/>
        <w:sz w:val="20"/>
      </w:rPr>
      <w:t xml:space="preserve"> Risk Areas</w:t>
    </w:r>
  </w:p>
  <w:p w14:paraId="570DF29E" w14:textId="77777777" w:rsidR="005A6839" w:rsidRPr="00FD7435" w:rsidRDefault="005A6839" w:rsidP="005A6839">
    <w:pPr>
      <w:pBdr>
        <w:bottom w:val="single" w:sz="12" w:space="0" w:color="auto"/>
      </w:pBdr>
      <w:jc w:val="center"/>
      <w:rPr>
        <w:spacing w:val="0"/>
        <w:kern w:val="2"/>
        <w:sz w:val="20"/>
      </w:rPr>
    </w:pPr>
    <w:r w:rsidRPr="00FD7435">
      <w:rPr>
        <w:spacing w:val="0"/>
        <w:kern w:val="2"/>
        <w:sz w:val="20"/>
      </w:rPr>
      <w:t>Lobbying and Political Activity</w:t>
    </w:r>
  </w:p>
  <w:p w14:paraId="4D2179EE" w14:textId="77777777" w:rsidR="005A6839" w:rsidRPr="00FD7435" w:rsidRDefault="005A6839" w:rsidP="005A6839">
    <w:pPr>
      <w:pBdr>
        <w:bottom w:val="single" w:sz="12" w:space="0" w:color="auto"/>
      </w:pBdr>
      <w:jc w:val="center"/>
      <w:rPr>
        <w:spacing w:val="0"/>
        <w:kern w:val="2"/>
        <w:sz w:val="20"/>
      </w:rPr>
    </w:pPr>
  </w:p>
  <w:p w14:paraId="184F73D5" w14:textId="77777777" w:rsidR="005A6839" w:rsidRDefault="005A6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6C5F"/>
    <w:multiLevelType w:val="hybridMultilevel"/>
    <w:tmpl w:val="86BAF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69185E"/>
    <w:multiLevelType w:val="hybridMultilevel"/>
    <w:tmpl w:val="1D18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11A27"/>
    <w:multiLevelType w:val="hybridMultilevel"/>
    <w:tmpl w:val="2612DE20"/>
    <w:lvl w:ilvl="0" w:tplc="E43A0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858762B"/>
    <w:multiLevelType w:val="hybridMultilevel"/>
    <w:tmpl w:val="90208E1E"/>
    <w:lvl w:ilvl="0" w:tplc="87DA29A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BAB4872"/>
    <w:multiLevelType w:val="hybridMultilevel"/>
    <w:tmpl w:val="4D46CE46"/>
    <w:lvl w:ilvl="0" w:tplc="3DA433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F3C7668"/>
    <w:multiLevelType w:val="hybridMultilevel"/>
    <w:tmpl w:val="876A683C"/>
    <w:lvl w:ilvl="0" w:tplc="533C81A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B6"/>
    <w:rsid w:val="0000738F"/>
    <w:rsid w:val="000075BC"/>
    <w:rsid w:val="000868B9"/>
    <w:rsid w:val="000B4285"/>
    <w:rsid w:val="000B4946"/>
    <w:rsid w:val="00124323"/>
    <w:rsid w:val="00162F72"/>
    <w:rsid w:val="00186080"/>
    <w:rsid w:val="00235D7B"/>
    <w:rsid w:val="00313B55"/>
    <w:rsid w:val="00324D3D"/>
    <w:rsid w:val="0036018B"/>
    <w:rsid w:val="003A7D58"/>
    <w:rsid w:val="003C148A"/>
    <w:rsid w:val="00402749"/>
    <w:rsid w:val="00425550"/>
    <w:rsid w:val="005A6839"/>
    <w:rsid w:val="005C0006"/>
    <w:rsid w:val="005C2410"/>
    <w:rsid w:val="005D0282"/>
    <w:rsid w:val="005E7C46"/>
    <w:rsid w:val="005F1106"/>
    <w:rsid w:val="00641C66"/>
    <w:rsid w:val="0066381F"/>
    <w:rsid w:val="006B17FF"/>
    <w:rsid w:val="007625CD"/>
    <w:rsid w:val="007F6206"/>
    <w:rsid w:val="0085649A"/>
    <w:rsid w:val="0087728D"/>
    <w:rsid w:val="008A7438"/>
    <w:rsid w:val="008C7563"/>
    <w:rsid w:val="00914D44"/>
    <w:rsid w:val="00920444"/>
    <w:rsid w:val="00947EDD"/>
    <w:rsid w:val="00957401"/>
    <w:rsid w:val="009F6485"/>
    <w:rsid w:val="00B21849"/>
    <w:rsid w:val="00B320D7"/>
    <w:rsid w:val="00BB66E1"/>
    <w:rsid w:val="00BB75B6"/>
    <w:rsid w:val="00BD23E9"/>
    <w:rsid w:val="00C0237F"/>
    <w:rsid w:val="00C568CB"/>
    <w:rsid w:val="00C65EE5"/>
    <w:rsid w:val="00C912F5"/>
    <w:rsid w:val="00C9260E"/>
    <w:rsid w:val="00D02674"/>
    <w:rsid w:val="00D503B5"/>
    <w:rsid w:val="00DA5DD4"/>
    <w:rsid w:val="00DB2F67"/>
    <w:rsid w:val="00DB37B6"/>
    <w:rsid w:val="00DB789A"/>
    <w:rsid w:val="00EA004E"/>
    <w:rsid w:val="00F11D8F"/>
    <w:rsid w:val="00FB4A1B"/>
    <w:rsid w:val="00FD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B6"/>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Header">
    <w:name w:val="header"/>
    <w:basedOn w:val="Normal"/>
    <w:link w:val="HeaderChar"/>
    <w:uiPriority w:val="99"/>
    <w:unhideWhenUsed/>
    <w:rsid w:val="005A6839"/>
    <w:pPr>
      <w:tabs>
        <w:tab w:val="center" w:pos="4680"/>
        <w:tab w:val="right" w:pos="9360"/>
      </w:tabs>
    </w:pPr>
  </w:style>
  <w:style w:type="character" w:customStyle="1" w:styleId="HeaderChar">
    <w:name w:val="Header Char"/>
    <w:basedOn w:val="DefaultParagraphFont"/>
    <w:link w:val="Header"/>
    <w:uiPriority w:val="99"/>
    <w:rsid w:val="005A6839"/>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5A6839"/>
    <w:pPr>
      <w:tabs>
        <w:tab w:val="center" w:pos="4680"/>
        <w:tab w:val="right" w:pos="9360"/>
      </w:tabs>
    </w:pPr>
  </w:style>
  <w:style w:type="character" w:customStyle="1" w:styleId="FooterChar">
    <w:name w:val="Footer Char"/>
    <w:basedOn w:val="DefaultParagraphFont"/>
    <w:link w:val="Footer"/>
    <w:uiPriority w:val="99"/>
    <w:rsid w:val="005A6839"/>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5A6839"/>
    <w:rPr>
      <w:rFonts w:ascii="Tahoma" w:hAnsi="Tahoma" w:cs="Tahoma"/>
      <w:sz w:val="16"/>
      <w:szCs w:val="16"/>
    </w:rPr>
  </w:style>
  <w:style w:type="character" w:customStyle="1" w:styleId="BalloonTextChar">
    <w:name w:val="Balloon Text Char"/>
    <w:basedOn w:val="DefaultParagraphFont"/>
    <w:link w:val="BalloonText"/>
    <w:uiPriority w:val="99"/>
    <w:semiHidden/>
    <w:rsid w:val="005A6839"/>
    <w:rPr>
      <w:rFonts w:ascii="Tahoma" w:eastAsia="Times New Roman" w:hAnsi="Tahoma" w:cs="Tahoma"/>
      <w:bCs/>
      <w:spacing w:val="-3"/>
      <w:sz w:val="16"/>
      <w:szCs w:val="16"/>
    </w:rPr>
  </w:style>
  <w:style w:type="paragraph" w:styleId="ListParagraph">
    <w:name w:val="List Paragraph"/>
    <w:basedOn w:val="Normal"/>
    <w:uiPriority w:val="34"/>
    <w:qFormat/>
    <w:rsid w:val="005A6839"/>
    <w:pPr>
      <w:ind w:left="720"/>
      <w:contextualSpacing/>
    </w:pPr>
  </w:style>
  <w:style w:type="character" w:styleId="Hyperlink">
    <w:name w:val="Hyperlink"/>
    <w:basedOn w:val="DefaultParagraphFont"/>
    <w:uiPriority w:val="99"/>
    <w:unhideWhenUsed/>
    <w:rsid w:val="000B4946"/>
    <w:rPr>
      <w:color w:val="0000FF" w:themeColor="hyperlink"/>
      <w:u w:val="single"/>
    </w:rPr>
  </w:style>
  <w:style w:type="paragraph" w:styleId="FootnoteText">
    <w:name w:val="footnote text"/>
    <w:basedOn w:val="Normal"/>
    <w:link w:val="FootnoteTextChar"/>
    <w:uiPriority w:val="99"/>
    <w:unhideWhenUsed/>
    <w:rsid w:val="0066381F"/>
    <w:rPr>
      <w:sz w:val="20"/>
      <w:szCs w:val="20"/>
    </w:rPr>
  </w:style>
  <w:style w:type="character" w:customStyle="1" w:styleId="FootnoteTextChar">
    <w:name w:val="Footnote Text Char"/>
    <w:basedOn w:val="DefaultParagraphFont"/>
    <w:link w:val="FootnoteText"/>
    <w:uiPriority w:val="99"/>
    <w:rsid w:val="0066381F"/>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unhideWhenUsed/>
    <w:rsid w:val="0066381F"/>
    <w:rPr>
      <w:vertAlign w:val="superscript"/>
    </w:rPr>
  </w:style>
  <w:style w:type="character" w:styleId="FollowedHyperlink">
    <w:name w:val="FollowedHyperlink"/>
    <w:basedOn w:val="DefaultParagraphFont"/>
    <w:uiPriority w:val="99"/>
    <w:semiHidden/>
    <w:unhideWhenUsed/>
    <w:rsid w:val="008564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B6"/>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Header">
    <w:name w:val="header"/>
    <w:basedOn w:val="Normal"/>
    <w:link w:val="HeaderChar"/>
    <w:uiPriority w:val="99"/>
    <w:unhideWhenUsed/>
    <w:rsid w:val="005A6839"/>
    <w:pPr>
      <w:tabs>
        <w:tab w:val="center" w:pos="4680"/>
        <w:tab w:val="right" w:pos="9360"/>
      </w:tabs>
    </w:pPr>
  </w:style>
  <w:style w:type="character" w:customStyle="1" w:styleId="HeaderChar">
    <w:name w:val="Header Char"/>
    <w:basedOn w:val="DefaultParagraphFont"/>
    <w:link w:val="Header"/>
    <w:uiPriority w:val="99"/>
    <w:rsid w:val="005A6839"/>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5A6839"/>
    <w:pPr>
      <w:tabs>
        <w:tab w:val="center" w:pos="4680"/>
        <w:tab w:val="right" w:pos="9360"/>
      </w:tabs>
    </w:pPr>
  </w:style>
  <w:style w:type="character" w:customStyle="1" w:styleId="FooterChar">
    <w:name w:val="Footer Char"/>
    <w:basedOn w:val="DefaultParagraphFont"/>
    <w:link w:val="Footer"/>
    <w:uiPriority w:val="99"/>
    <w:rsid w:val="005A6839"/>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5A6839"/>
    <w:rPr>
      <w:rFonts w:ascii="Tahoma" w:hAnsi="Tahoma" w:cs="Tahoma"/>
      <w:sz w:val="16"/>
      <w:szCs w:val="16"/>
    </w:rPr>
  </w:style>
  <w:style w:type="character" w:customStyle="1" w:styleId="BalloonTextChar">
    <w:name w:val="Balloon Text Char"/>
    <w:basedOn w:val="DefaultParagraphFont"/>
    <w:link w:val="BalloonText"/>
    <w:uiPriority w:val="99"/>
    <w:semiHidden/>
    <w:rsid w:val="005A6839"/>
    <w:rPr>
      <w:rFonts w:ascii="Tahoma" w:eastAsia="Times New Roman" w:hAnsi="Tahoma" w:cs="Tahoma"/>
      <w:bCs/>
      <w:spacing w:val="-3"/>
      <w:sz w:val="16"/>
      <w:szCs w:val="16"/>
    </w:rPr>
  </w:style>
  <w:style w:type="paragraph" w:styleId="ListParagraph">
    <w:name w:val="List Paragraph"/>
    <w:basedOn w:val="Normal"/>
    <w:uiPriority w:val="34"/>
    <w:qFormat/>
    <w:rsid w:val="005A6839"/>
    <w:pPr>
      <w:ind w:left="720"/>
      <w:contextualSpacing/>
    </w:pPr>
  </w:style>
  <w:style w:type="character" w:styleId="Hyperlink">
    <w:name w:val="Hyperlink"/>
    <w:basedOn w:val="DefaultParagraphFont"/>
    <w:uiPriority w:val="99"/>
    <w:unhideWhenUsed/>
    <w:rsid w:val="000B4946"/>
    <w:rPr>
      <w:color w:val="0000FF" w:themeColor="hyperlink"/>
      <w:u w:val="single"/>
    </w:rPr>
  </w:style>
  <w:style w:type="paragraph" w:styleId="FootnoteText">
    <w:name w:val="footnote text"/>
    <w:basedOn w:val="Normal"/>
    <w:link w:val="FootnoteTextChar"/>
    <w:uiPriority w:val="99"/>
    <w:unhideWhenUsed/>
    <w:rsid w:val="0066381F"/>
    <w:rPr>
      <w:sz w:val="20"/>
      <w:szCs w:val="20"/>
    </w:rPr>
  </w:style>
  <w:style w:type="character" w:customStyle="1" w:styleId="FootnoteTextChar">
    <w:name w:val="Footnote Text Char"/>
    <w:basedOn w:val="DefaultParagraphFont"/>
    <w:link w:val="FootnoteText"/>
    <w:uiPriority w:val="99"/>
    <w:rsid w:val="0066381F"/>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unhideWhenUsed/>
    <w:rsid w:val="0066381F"/>
    <w:rPr>
      <w:vertAlign w:val="superscript"/>
    </w:rPr>
  </w:style>
  <w:style w:type="character" w:styleId="FollowedHyperlink">
    <w:name w:val="FollowedHyperlink"/>
    <w:basedOn w:val="DefaultParagraphFont"/>
    <w:uiPriority w:val="99"/>
    <w:semiHidden/>
    <w:unhideWhenUsed/>
    <w:rsid w:val="00856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centercompliance.com/subscriber/pca-toolkit/volume-2/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A18F-EB3C-47A6-81F9-348F6877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Zimbro, Karen</cp:lastModifiedBy>
  <cp:revision>2</cp:revision>
  <dcterms:created xsi:type="dcterms:W3CDTF">2015-11-09T15:29:00Z</dcterms:created>
  <dcterms:modified xsi:type="dcterms:W3CDTF">2015-11-09T15:29:00Z</dcterms:modified>
</cp:coreProperties>
</file>