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9C" w:rsidRPr="009B024D" w:rsidRDefault="00470A9C" w:rsidP="009D75E6">
      <w:pPr>
        <w:autoSpaceDE w:val="0"/>
        <w:autoSpaceDN w:val="0"/>
        <w:adjustRightInd w:val="0"/>
        <w:spacing w:before="11"/>
        <w:jc w:val="center"/>
        <w:rPr>
          <w:b/>
          <w:bCs w:val="0"/>
          <w:spacing w:val="0"/>
          <w:kern w:val="2"/>
          <w:sz w:val="32"/>
          <w:szCs w:val="28"/>
        </w:rPr>
      </w:pPr>
      <w:r w:rsidRPr="009B024D">
        <w:rPr>
          <w:b/>
          <w:spacing w:val="0"/>
          <w:kern w:val="2"/>
          <w:sz w:val="32"/>
          <w:szCs w:val="28"/>
        </w:rPr>
        <w:t>Federal Audit Requirements</w:t>
      </w:r>
      <w:r w:rsidR="00856407" w:rsidRPr="009B024D">
        <w:rPr>
          <w:b/>
          <w:spacing w:val="0"/>
          <w:kern w:val="2"/>
          <w:sz w:val="32"/>
          <w:szCs w:val="28"/>
        </w:rPr>
        <w:t xml:space="preserve">: </w:t>
      </w:r>
      <w:r w:rsidR="009D75E6" w:rsidRPr="009B024D">
        <w:rPr>
          <w:b/>
          <w:spacing w:val="0"/>
          <w:kern w:val="2"/>
          <w:sz w:val="32"/>
          <w:szCs w:val="28"/>
        </w:rPr>
        <w:t>Introductory Guidance</w:t>
      </w:r>
    </w:p>
    <w:p w:rsidR="00470A9C" w:rsidRPr="009B024D" w:rsidRDefault="00470A9C" w:rsidP="009D75E6">
      <w:pPr>
        <w:pBdr>
          <w:bottom w:val="single" w:sz="12" w:space="1" w:color="auto"/>
        </w:pBdr>
        <w:autoSpaceDE w:val="0"/>
        <w:autoSpaceDN w:val="0"/>
        <w:adjustRightInd w:val="0"/>
        <w:ind w:right="-20"/>
        <w:jc w:val="both"/>
        <w:rPr>
          <w:b/>
          <w:bCs w:val="0"/>
          <w:spacing w:val="0"/>
          <w:kern w:val="2"/>
        </w:rPr>
      </w:pPr>
    </w:p>
    <w:p w:rsidR="001A7E9E" w:rsidRPr="009B024D" w:rsidRDefault="001A7E9E" w:rsidP="009D75E6">
      <w:pPr>
        <w:jc w:val="both"/>
        <w:rPr>
          <w:spacing w:val="0"/>
          <w:kern w:val="2"/>
        </w:rPr>
      </w:pPr>
    </w:p>
    <w:p w:rsidR="001A7E9E" w:rsidRPr="009B024D" w:rsidRDefault="007C71CE" w:rsidP="009D75E6">
      <w:pPr>
        <w:jc w:val="both"/>
        <w:rPr>
          <w:spacing w:val="0"/>
          <w:kern w:val="2"/>
        </w:rPr>
      </w:pPr>
      <w:r w:rsidRPr="009B024D">
        <w:rPr>
          <w:b/>
          <w:spacing w:val="0"/>
          <w:kern w:val="2"/>
        </w:rPr>
        <w:t>Background</w:t>
      </w:r>
    </w:p>
    <w:p w:rsidR="001A7E9E" w:rsidRPr="009B024D" w:rsidRDefault="001A7E9E" w:rsidP="009D75E6">
      <w:pPr>
        <w:jc w:val="both"/>
        <w:rPr>
          <w:spacing w:val="0"/>
          <w:kern w:val="2"/>
        </w:rPr>
      </w:pPr>
    </w:p>
    <w:p w:rsidR="00FB6C89" w:rsidRPr="009B024D" w:rsidRDefault="001A7E9E" w:rsidP="009D75E6">
      <w:pPr>
        <w:pStyle w:val="BodyText"/>
        <w:tabs>
          <w:tab w:val="left" w:pos="-1440"/>
          <w:tab w:val="left" w:pos="90"/>
          <w:tab w:val="left" w:pos="720"/>
        </w:tabs>
        <w:jc w:val="both"/>
        <w:rPr>
          <w:spacing w:val="0"/>
          <w:kern w:val="2"/>
          <w:sz w:val="24"/>
        </w:rPr>
      </w:pPr>
      <w:r w:rsidRPr="009B024D">
        <w:rPr>
          <w:spacing w:val="0"/>
          <w:kern w:val="2"/>
          <w:sz w:val="24"/>
        </w:rPr>
        <w:t xml:space="preserve">All </w:t>
      </w:r>
      <w:r w:rsidR="00B43ACC" w:rsidRPr="009B024D">
        <w:rPr>
          <w:spacing w:val="0"/>
          <w:kern w:val="2"/>
          <w:sz w:val="24"/>
        </w:rPr>
        <w:t>PCAs-HCCNs</w:t>
      </w:r>
      <w:r w:rsidRPr="009B024D">
        <w:rPr>
          <w:spacing w:val="0"/>
          <w:kern w:val="2"/>
          <w:sz w:val="24"/>
        </w:rPr>
        <w:t xml:space="preserve"> are required to conduct an a</w:t>
      </w:r>
      <w:r w:rsidR="00F3497F" w:rsidRPr="009B024D">
        <w:rPr>
          <w:spacing w:val="0"/>
          <w:kern w:val="2"/>
          <w:sz w:val="24"/>
        </w:rPr>
        <w:t>n</w:t>
      </w:r>
      <w:r w:rsidR="00B43ACC" w:rsidRPr="009B024D">
        <w:rPr>
          <w:spacing w:val="0"/>
          <w:kern w:val="2"/>
          <w:sz w:val="24"/>
        </w:rPr>
        <w:t>nual independent audit. PCA</w:t>
      </w:r>
      <w:r w:rsidR="00B6316A" w:rsidRPr="009B024D">
        <w:rPr>
          <w:spacing w:val="0"/>
          <w:kern w:val="2"/>
          <w:sz w:val="24"/>
        </w:rPr>
        <w:t>s</w:t>
      </w:r>
      <w:r w:rsidR="00B43ACC" w:rsidRPr="009B024D">
        <w:rPr>
          <w:spacing w:val="0"/>
          <w:kern w:val="2"/>
          <w:sz w:val="24"/>
        </w:rPr>
        <w:t>-HCCNs</w:t>
      </w:r>
      <w:r w:rsidR="00B6316A" w:rsidRPr="009B024D">
        <w:rPr>
          <w:spacing w:val="0"/>
          <w:kern w:val="2"/>
          <w:sz w:val="24"/>
        </w:rPr>
        <w:t xml:space="preserve"> </w:t>
      </w:r>
      <w:r w:rsidR="00CA54E8" w:rsidRPr="009B024D">
        <w:rPr>
          <w:spacing w:val="0"/>
          <w:kern w:val="2"/>
          <w:sz w:val="24"/>
        </w:rPr>
        <w:t xml:space="preserve">with project periods beginning prior to December 26, 2014 </w:t>
      </w:r>
      <w:r w:rsidRPr="009B024D">
        <w:rPr>
          <w:spacing w:val="0"/>
          <w:kern w:val="2"/>
          <w:sz w:val="24"/>
        </w:rPr>
        <w:t>that expend</w:t>
      </w:r>
      <w:r w:rsidR="00641A95" w:rsidRPr="009B024D">
        <w:rPr>
          <w:spacing w:val="0"/>
          <w:kern w:val="2"/>
          <w:sz w:val="24"/>
        </w:rPr>
        <w:t xml:space="preserve"> at least $500,000 annually in </w:t>
      </w:r>
      <w:r w:rsidR="00CA54E8" w:rsidRPr="009B024D">
        <w:rPr>
          <w:spacing w:val="0"/>
          <w:kern w:val="2"/>
          <w:sz w:val="24"/>
        </w:rPr>
        <w:t>f</w:t>
      </w:r>
      <w:r w:rsidRPr="009B024D">
        <w:rPr>
          <w:spacing w:val="0"/>
          <w:kern w:val="2"/>
          <w:sz w:val="24"/>
        </w:rPr>
        <w:t xml:space="preserve">ederal grant funds are </w:t>
      </w:r>
      <w:bookmarkStart w:id="0" w:name="_GoBack"/>
      <w:bookmarkEnd w:id="0"/>
      <w:r w:rsidRPr="009B024D">
        <w:rPr>
          <w:spacing w:val="0"/>
          <w:kern w:val="2"/>
          <w:sz w:val="24"/>
        </w:rPr>
        <w:t xml:space="preserve">required to obtain an annual audit that meets the requirements of OMB Circular A-133 and </w:t>
      </w:r>
      <w:r w:rsidR="00123581" w:rsidRPr="009B024D">
        <w:rPr>
          <w:spacing w:val="0"/>
          <w:kern w:val="2"/>
          <w:sz w:val="24"/>
        </w:rPr>
        <w:t>any</w:t>
      </w:r>
      <w:r w:rsidRPr="009B024D">
        <w:rPr>
          <w:spacing w:val="0"/>
          <w:kern w:val="2"/>
          <w:sz w:val="24"/>
        </w:rPr>
        <w:t xml:space="preserve"> </w:t>
      </w:r>
      <w:r w:rsidR="00123581" w:rsidRPr="009B024D">
        <w:rPr>
          <w:spacing w:val="0"/>
          <w:kern w:val="2"/>
          <w:sz w:val="24"/>
        </w:rPr>
        <w:t>“</w:t>
      </w:r>
      <w:r w:rsidRPr="009B024D">
        <w:rPr>
          <w:spacing w:val="0"/>
          <w:kern w:val="2"/>
          <w:sz w:val="24"/>
        </w:rPr>
        <w:t>compliance supplement</w:t>
      </w:r>
      <w:r w:rsidR="00123581" w:rsidRPr="009B024D">
        <w:rPr>
          <w:spacing w:val="0"/>
          <w:kern w:val="2"/>
          <w:sz w:val="24"/>
        </w:rPr>
        <w:t>s”</w:t>
      </w:r>
      <w:r w:rsidRPr="009B024D">
        <w:rPr>
          <w:spacing w:val="0"/>
          <w:kern w:val="2"/>
          <w:sz w:val="24"/>
        </w:rPr>
        <w:t xml:space="preserve"> </w:t>
      </w:r>
      <w:r w:rsidR="00641A95" w:rsidRPr="009B024D">
        <w:rPr>
          <w:spacing w:val="0"/>
          <w:kern w:val="2"/>
          <w:sz w:val="24"/>
        </w:rPr>
        <w:t>applicable to the f</w:t>
      </w:r>
      <w:r w:rsidR="00123581" w:rsidRPr="009B024D">
        <w:rPr>
          <w:spacing w:val="0"/>
          <w:kern w:val="2"/>
          <w:sz w:val="24"/>
        </w:rPr>
        <w:t>ederal programs</w:t>
      </w:r>
      <w:r w:rsidRPr="009B024D">
        <w:rPr>
          <w:spacing w:val="0"/>
          <w:kern w:val="2"/>
          <w:sz w:val="24"/>
        </w:rPr>
        <w:t xml:space="preserve"> </w:t>
      </w:r>
      <w:r w:rsidR="002C2E3E" w:rsidRPr="009B024D">
        <w:rPr>
          <w:spacing w:val="0"/>
          <w:kern w:val="2"/>
          <w:sz w:val="24"/>
        </w:rPr>
        <w:t xml:space="preserve">from which </w:t>
      </w:r>
      <w:r w:rsidR="00123581" w:rsidRPr="009B024D">
        <w:rPr>
          <w:spacing w:val="0"/>
          <w:kern w:val="2"/>
          <w:sz w:val="24"/>
        </w:rPr>
        <w:t xml:space="preserve">the </w:t>
      </w:r>
      <w:r w:rsidR="002C2E3E" w:rsidRPr="009B024D">
        <w:rPr>
          <w:spacing w:val="0"/>
          <w:kern w:val="2"/>
          <w:sz w:val="24"/>
        </w:rPr>
        <w:t>PCA-HCCN</w:t>
      </w:r>
      <w:r w:rsidR="00123581" w:rsidRPr="009B024D">
        <w:rPr>
          <w:spacing w:val="0"/>
          <w:kern w:val="2"/>
          <w:sz w:val="24"/>
        </w:rPr>
        <w:t xml:space="preserve"> receives financial assistance</w:t>
      </w:r>
      <w:r w:rsidR="002479C0" w:rsidRPr="009B024D">
        <w:rPr>
          <w:spacing w:val="0"/>
          <w:kern w:val="2"/>
          <w:sz w:val="24"/>
        </w:rPr>
        <w:t>.</w:t>
      </w:r>
      <w:r w:rsidR="008917B9" w:rsidRPr="009B024D">
        <w:rPr>
          <w:rStyle w:val="FootnoteReference"/>
          <w:spacing w:val="0"/>
          <w:kern w:val="2"/>
          <w:sz w:val="24"/>
        </w:rPr>
        <w:footnoteReference w:id="1"/>
      </w:r>
      <w:r w:rsidR="002479C0" w:rsidRPr="009B024D">
        <w:rPr>
          <w:spacing w:val="0"/>
          <w:kern w:val="2"/>
          <w:sz w:val="24"/>
        </w:rPr>
        <w:t xml:space="preserve"> </w:t>
      </w:r>
      <w:r w:rsidR="00B43ACC" w:rsidRPr="009B024D">
        <w:rPr>
          <w:spacing w:val="0"/>
          <w:kern w:val="2"/>
          <w:sz w:val="24"/>
        </w:rPr>
        <w:t>PCAs-HCCNs</w:t>
      </w:r>
      <w:r w:rsidR="008053DC" w:rsidRPr="009B024D">
        <w:rPr>
          <w:spacing w:val="0"/>
          <w:kern w:val="2"/>
          <w:sz w:val="24"/>
        </w:rPr>
        <w:t xml:space="preserve"> with project periods beginni</w:t>
      </w:r>
      <w:r w:rsidR="00367D07" w:rsidRPr="009B024D">
        <w:rPr>
          <w:spacing w:val="0"/>
          <w:kern w:val="2"/>
          <w:sz w:val="24"/>
        </w:rPr>
        <w:t xml:space="preserve">ng after December 26, 2014 that expend at least $750,000 annually in federal grant funds are required to obtain an annual audit that meets the requirements of 45 C.F.R. Part 75 Subpart </w:t>
      </w:r>
      <w:r w:rsidR="00A7461D" w:rsidRPr="009B024D">
        <w:rPr>
          <w:spacing w:val="0"/>
          <w:kern w:val="2"/>
          <w:sz w:val="24"/>
        </w:rPr>
        <w:t>F, together with any relevant compliance supplements.</w:t>
      </w:r>
    </w:p>
    <w:p w:rsidR="00FB6C89" w:rsidRPr="009B024D" w:rsidRDefault="00FB6C89" w:rsidP="009D75E6">
      <w:pPr>
        <w:pStyle w:val="BodyText"/>
        <w:tabs>
          <w:tab w:val="left" w:pos="-1440"/>
          <w:tab w:val="left" w:pos="90"/>
          <w:tab w:val="left" w:pos="720"/>
        </w:tabs>
        <w:jc w:val="both"/>
        <w:rPr>
          <w:spacing w:val="0"/>
          <w:kern w:val="2"/>
          <w:sz w:val="24"/>
        </w:rPr>
      </w:pPr>
    </w:p>
    <w:p w:rsidR="001A7E9E" w:rsidRPr="009B024D" w:rsidRDefault="001A7E9E" w:rsidP="009D75E6">
      <w:pPr>
        <w:pStyle w:val="BodyText"/>
        <w:tabs>
          <w:tab w:val="left" w:pos="-1440"/>
          <w:tab w:val="left" w:pos="90"/>
          <w:tab w:val="left" w:pos="720"/>
        </w:tabs>
        <w:jc w:val="both"/>
        <w:rPr>
          <w:spacing w:val="0"/>
          <w:kern w:val="2"/>
          <w:sz w:val="24"/>
        </w:rPr>
      </w:pPr>
      <w:r w:rsidRPr="009B024D">
        <w:rPr>
          <w:spacing w:val="0"/>
          <w:kern w:val="2"/>
          <w:sz w:val="24"/>
        </w:rPr>
        <w:t xml:space="preserve">All </w:t>
      </w:r>
      <w:r w:rsidR="007626D0" w:rsidRPr="009B024D">
        <w:rPr>
          <w:spacing w:val="0"/>
          <w:kern w:val="2"/>
          <w:sz w:val="24"/>
        </w:rPr>
        <w:t>required non-federal</w:t>
      </w:r>
      <w:r w:rsidRPr="009B024D">
        <w:rPr>
          <w:spacing w:val="0"/>
          <w:kern w:val="2"/>
          <w:sz w:val="24"/>
        </w:rPr>
        <w:t xml:space="preserve"> audits must b</w:t>
      </w:r>
      <w:r w:rsidR="00B51CA4" w:rsidRPr="009B024D">
        <w:rPr>
          <w:spacing w:val="0"/>
          <w:kern w:val="2"/>
          <w:sz w:val="24"/>
        </w:rPr>
        <w:t>e performed in accordance with generally accepted government a</w:t>
      </w:r>
      <w:r w:rsidRPr="009B024D">
        <w:rPr>
          <w:spacing w:val="0"/>
          <w:kern w:val="2"/>
          <w:sz w:val="24"/>
        </w:rPr>
        <w:t xml:space="preserve">uditing </w:t>
      </w:r>
      <w:r w:rsidR="00B51CA4" w:rsidRPr="009B024D">
        <w:rPr>
          <w:spacing w:val="0"/>
          <w:kern w:val="2"/>
          <w:sz w:val="24"/>
        </w:rPr>
        <w:t>s</w:t>
      </w:r>
      <w:r w:rsidRPr="009B024D">
        <w:rPr>
          <w:spacing w:val="0"/>
          <w:kern w:val="2"/>
          <w:sz w:val="24"/>
        </w:rPr>
        <w:t>tandards (“GAGAS”), know</w:t>
      </w:r>
      <w:r w:rsidR="00B51CA4" w:rsidRPr="009B024D">
        <w:rPr>
          <w:spacing w:val="0"/>
          <w:kern w:val="2"/>
          <w:sz w:val="24"/>
        </w:rPr>
        <w:t>n</w:t>
      </w:r>
      <w:r w:rsidR="00F3497F" w:rsidRPr="009B024D">
        <w:rPr>
          <w:spacing w:val="0"/>
          <w:kern w:val="2"/>
          <w:sz w:val="24"/>
        </w:rPr>
        <w:t xml:space="preserve"> as the Yellow Book.</w:t>
      </w:r>
      <w:r w:rsidRPr="009B024D">
        <w:rPr>
          <w:spacing w:val="0"/>
          <w:kern w:val="2"/>
          <w:sz w:val="24"/>
        </w:rPr>
        <w:t xml:space="preserve"> The scope of </w:t>
      </w:r>
      <w:r w:rsidR="007626D0" w:rsidRPr="009B024D">
        <w:rPr>
          <w:spacing w:val="0"/>
          <w:kern w:val="2"/>
          <w:sz w:val="24"/>
        </w:rPr>
        <w:t>the</w:t>
      </w:r>
      <w:r w:rsidRPr="009B024D">
        <w:rPr>
          <w:spacing w:val="0"/>
          <w:kern w:val="2"/>
          <w:sz w:val="24"/>
        </w:rPr>
        <w:t xml:space="preserve"> audit must include:</w:t>
      </w:r>
    </w:p>
    <w:p w:rsidR="001A7E9E" w:rsidRPr="009B024D" w:rsidRDefault="001A7E9E" w:rsidP="009D75E6">
      <w:pPr>
        <w:pStyle w:val="BodyText"/>
        <w:tabs>
          <w:tab w:val="left" w:pos="-1440"/>
          <w:tab w:val="left" w:pos="90"/>
          <w:tab w:val="left" w:pos="720"/>
        </w:tabs>
        <w:jc w:val="both"/>
        <w:rPr>
          <w:spacing w:val="0"/>
          <w:kern w:val="2"/>
          <w:sz w:val="24"/>
        </w:rPr>
      </w:pPr>
    </w:p>
    <w:p w:rsidR="00860595" w:rsidRPr="009B024D" w:rsidRDefault="001A7E9E" w:rsidP="00860595">
      <w:pPr>
        <w:numPr>
          <w:ilvl w:val="0"/>
          <w:numId w:val="6"/>
        </w:numPr>
        <w:autoSpaceDE w:val="0"/>
        <w:autoSpaceDN w:val="0"/>
        <w:adjustRightInd w:val="0"/>
        <w:ind w:left="1080"/>
        <w:jc w:val="both"/>
        <w:rPr>
          <w:color w:val="000000"/>
          <w:spacing w:val="0"/>
          <w:kern w:val="2"/>
        </w:rPr>
      </w:pPr>
      <w:r w:rsidRPr="009B024D">
        <w:rPr>
          <w:spacing w:val="0"/>
          <w:kern w:val="2"/>
        </w:rPr>
        <w:t xml:space="preserve">A determination that financial statements are presented fairly in all material respects in conformity with </w:t>
      </w:r>
      <w:r w:rsidR="007626D0" w:rsidRPr="009B024D">
        <w:rPr>
          <w:spacing w:val="0"/>
          <w:kern w:val="2"/>
        </w:rPr>
        <w:t>generally accepted accounting principles (“</w:t>
      </w:r>
      <w:r w:rsidRPr="009B024D">
        <w:rPr>
          <w:spacing w:val="0"/>
          <w:kern w:val="2"/>
        </w:rPr>
        <w:t>GAAP</w:t>
      </w:r>
      <w:r w:rsidR="007626D0" w:rsidRPr="009B024D">
        <w:rPr>
          <w:spacing w:val="0"/>
          <w:kern w:val="2"/>
        </w:rPr>
        <w:t>”)</w:t>
      </w:r>
      <w:r w:rsidRPr="009B024D">
        <w:rPr>
          <w:spacing w:val="0"/>
          <w:kern w:val="2"/>
        </w:rPr>
        <w:t xml:space="preserve">; </w:t>
      </w:r>
    </w:p>
    <w:p w:rsidR="001A7E9E" w:rsidRPr="009B024D" w:rsidRDefault="001A7E9E" w:rsidP="00860595">
      <w:pPr>
        <w:pStyle w:val="BodyText"/>
        <w:tabs>
          <w:tab w:val="left" w:pos="-1440"/>
          <w:tab w:val="left" w:pos="90"/>
        </w:tabs>
        <w:jc w:val="both"/>
        <w:rPr>
          <w:spacing w:val="0"/>
          <w:kern w:val="2"/>
          <w:sz w:val="24"/>
        </w:rPr>
      </w:pPr>
    </w:p>
    <w:p w:rsidR="00860595" w:rsidRPr="009B024D" w:rsidRDefault="001A7E9E" w:rsidP="00860595">
      <w:pPr>
        <w:numPr>
          <w:ilvl w:val="0"/>
          <w:numId w:val="6"/>
        </w:numPr>
        <w:autoSpaceDE w:val="0"/>
        <w:autoSpaceDN w:val="0"/>
        <w:adjustRightInd w:val="0"/>
        <w:ind w:left="1080"/>
        <w:jc w:val="both"/>
        <w:rPr>
          <w:color w:val="000000"/>
          <w:spacing w:val="0"/>
          <w:kern w:val="2"/>
        </w:rPr>
      </w:pPr>
      <w:r w:rsidRPr="009B024D">
        <w:rPr>
          <w:spacing w:val="0"/>
          <w:kern w:val="2"/>
        </w:rPr>
        <w:t xml:space="preserve">A review of internal controls over </w:t>
      </w:r>
      <w:r w:rsidR="00641A95" w:rsidRPr="009B024D">
        <w:rPr>
          <w:spacing w:val="0"/>
          <w:kern w:val="2"/>
        </w:rPr>
        <w:t>f</w:t>
      </w:r>
      <w:r w:rsidRPr="009B024D">
        <w:rPr>
          <w:spacing w:val="0"/>
          <w:kern w:val="2"/>
        </w:rPr>
        <w:t>ederal programs to support a determination of a low assessed level of control risk for major programs; and</w:t>
      </w:r>
    </w:p>
    <w:p w:rsidR="001A7E9E" w:rsidRPr="009B024D" w:rsidRDefault="001A7E9E" w:rsidP="00860595">
      <w:pPr>
        <w:pStyle w:val="BodyText"/>
        <w:tabs>
          <w:tab w:val="left" w:pos="-1440"/>
          <w:tab w:val="left" w:pos="90"/>
        </w:tabs>
        <w:ind w:left="360"/>
        <w:jc w:val="both"/>
        <w:rPr>
          <w:spacing w:val="0"/>
          <w:kern w:val="2"/>
          <w:sz w:val="24"/>
        </w:rPr>
      </w:pPr>
    </w:p>
    <w:p w:rsidR="00860595" w:rsidRPr="009B024D" w:rsidRDefault="001A7E9E" w:rsidP="00860595">
      <w:pPr>
        <w:numPr>
          <w:ilvl w:val="0"/>
          <w:numId w:val="6"/>
        </w:numPr>
        <w:autoSpaceDE w:val="0"/>
        <w:autoSpaceDN w:val="0"/>
        <w:adjustRightInd w:val="0"/>
        <w:ind w:left="1080"/>
        <w:jc w:val="both"/>
        <w:rPr>
          <w:color w:val="000000"/>
          <w:spacing w:val="0"/>
          <w:kern w:val="2"/>
        </w:rPr>
      </w:pPr>
      <w:r w:rsidRPr="009B024D">
        <w:rPr>
          <w:spacing w:val="0"/>
          <w:kern w:val="2"/>
        </w:rPr>
        <w:t>A determination as to whether an auditee has complied with the applicable laws, regulations, and the provisions of the grant agreements that could have a dir</w:t>
      </w:r>
      <w:r w:rsidR="00641A95" w:rsidRPr="009B024D">
        <w:rPr>
          <w:spacing w:val="0"/>
          <w:kern w:val="2"/>
        </w:rPr>
        <w:t>ect and material effect on the f</w:t>
      </w:r>
      <w:r w:rsidRPr="009B024D">
        <w:rPr>
          <w:spacing w:val="0"/>
          <w:kern w:val="2"/>
        </w:rPr>
        <w:t xml:space="preserve">ederal programs. </w:t>
      </w:r>
    </w:p>
    <w:p w:rsidR="00FB6C89" w:rsidRPr="009B024D" w:rsidRDefault="00FB6C89" w:rsidP="00860595">
      <w:pPr>
        <w:pStyle w:val="BodyText"/>
        <w:tabs>
          <w:tab w:val="left" w:pos="-1440"/>
          <w:tab w:val="left" w:pos="90"/>
          <w:tab w:val="left" w:pos="720"/>
        </w:tabs>
        <w:ind w:left="720"/>
        <w:jc w:val="both"/>
        <w:rPr>
          <w:spacing w:val="0"/>
          <w:kern w:val="2"/>
          <w:sz w:val="24"/>
        </w:rPr>
      </w:pPr>
    </w:p>
    <w:p w:rsidR="001A7E9E" w:rsidRPr="009B024D" w:rsidRDefault="001A7E9E" w:rsidP="009D75E6">
      <w:pPr>
        <w:pStyle w:val="BodyText"/>
        <w:tabs>
          <w:tab w:val="left" w:pos="-1440"/>
          <w:tab w:val="left" w:pos="90"/>
          <w:tab w:val="left" w:pos="720"/>
        </w:tabs>
        <w:jc w:val="both"/>
        <w:rPr>
          <w:spacing w:val="0"/>
          <w:kern w:val="2"/>
          <w:sz w:val="24"/>
        </w:rPr>
      </w:pPr>
      <w:r w:rsidRPr="009B024D">
        <w:rPr>
          <w:spacing w:val="0"/>
          <w:kern w:val="2"/>
          <w:sz w:val="24"/>
        </w:rPr>
        <w:t xml:space="preserve">Further, an auditee, such as a </w:t>
      </w:r>
      <w:r w:rsidR="00B43ACC" w:rsidRPr="009B024D">
        <w:rPr>
          <w:spacing w:val="0"/>
          <w:kern w:val="2"/>
          <w:sz w:val="24"/>
        </w:rPr>
        <w:t>PCA-HCCN</w:t>
      </w:r>
      <w:r w:rsidR="003451C1" w:rsidRPr="009B024D">
        <w:rPr>
          <w:spacing w:val="0"/>
          <w:kern w:val="2"/>
          <w:sz w:val="24"/>
        </w:rPr>
        <w:t>,</w:t>
      </w:r>
      <w:r w:rsidRPr="009B024D">
        <w:rPr>
          <w:spacing w:val="0"/>
          <w:kern w:val="2"/>
          <w:sz w:val="24"/>
        </w:rPr>
        <w:t xml:space="preserve"> is specifically required to:</w:t>
      </w:r>
    </w:p>
    <w:p w:rsidR="001A7E9E" w:rsidRPr="009B024D" w:rsidRDefault="001A7E9E" w:rsidP="009D75E6">
      <w:pPr>
        <w:pStyle w:val="BodyText"/>
        <w:tabs>
          <w:tab w:val="left" w:pos="-1440"/>
          <w:tab w:val="left" w:pos="90"/>
          <w:tab w:val="left" w:pos="720"/>
        </w:tabs>
        <w:jc w:val="both"/>
        <w:rPr>
          <w:spacing w:val="0"/>
          <w:kern w:val="2"/>
          <w:sz w:val="24"/>
        </w:rPr>
      </w:pPr>
    </w:p>
    <w:p w:rsidR="001A7E9E" w:rsidRPr="009B024D" w:rsidRDefault="00641A95" w:rsidP="00B43ACC">
      <w:pPr>
        <w:numPr>
          <w:ilvl w:val="0"/>
          <w:numId w:val="6"/>
        </w:numPr>
        <w:autoSpaceDE w:val="0"/>
        <w:autoSpaceDN w:val="0"/>
        <w:adjustRightInd w:val="0"/>
        <w:ind w:left="1080"/>
        <w:jc w:val="both"/>
        <w:rPr>
          <w:color w:val="000000"/>
          <w:spacing w:val="0"/>
          <w:kern w:val="2"/>
        </w:rPr>
      </w:pPr>
      <w:r w:rsidRPr="009B024D">
        <w:rPr>
          <w:spacing w:val="0"/>
          <w:kern w:val="2"/>
        </w:rPr>
        <w:t>Identify, in its accounts, all f</w:t>
      </w:r>
      <w:r w:rsidR="001A7E9E" w:rsidRPr="009B024D">
        <w:rPr>
          <w:spacing w:val="0"/>
          <w:kern w:val="2"/>
        </w:rPr>
        <w:t>ederal awards</w:t>
      </w:r>
      <w:r w:rsidR="00E54E00" w:rsidRPr="009B024D">
        <w:rPr>
          <w:spacing w:val="0"/>
          <w:kern w:val="2"/>
        </w:rPr>
        <w:t xml:space="preserve"> received and expended and the f</w:t>
      </w:r>
      <w:r w:rsidR="001A7E9E" w:rsidRPr="009B024D">
        <w:rPr>
          <w:spacing w:val="0"/>
          <w:kern w:val="2"/>
        </w:rPr>
        <w:t>ederal programs under which they were expended;</w:t>
      </w:r>
      <w:r w:rsidR="00860595" w:rsidRPr="009B024D">
        <w:rPr>
          <w:color w:val="000000"/>
          <w:spacing w:val="0"/>
          <w:kern w:val="2"/>
        </w:rPr>
        <w:t xml:space="preserve"> </w:t>
      </w:r>
    </w:p>
    <w:p w:rsidR="00860595" w:rsidRPr="009B024D" w:rsidRDefault="00641A95" w:rsidP="00860595">
      <w:pPr>
        <w:numPr>
          <w:ilvl w:val="0"/>
          <w:numId w:val="6"/>
        </w:numPr>
        <w:autoSpaceDE w:val="0"/>
        <w:autoSpaceDN w:val="0"/>
        <w:adjustRightInd w:val="0"/>
        <w:ind w:left="1080"/>
        <w:jc w:val="both"/>
        <w:rPr>
          <w:color w:val="000000"/>
          <w:spacing w:val="0"/>
          <w:kern w:val="2"/>
        </w:rPr>
      </w:pPr>
      <w:r w:rsidRPr="009B024D">
        <w:rPr>
          <w:spacing w:val="0"/>
          <w:kern w:val="2"/>
        </w:rPr>
        <w:t>Maintain internal control over f</w:t>
      </w:r>
      <w:r w:rsidR="001A7E9E" w:rsidRPr="009B024D">
        <w:rPr>
          <w:spacing w:val="0"/>
          <w:kern w:val="2"/>
        </w:rPr>
        <w:t>ederal programs that provide reasonable assuran</w:t>
      </w:r>
      <w:r w:rsidRPr="009B024D">
        <w:rPr>
          <w:spacing w:val="0"/>
          <w:kern w:val="2"/>
        </w:rPr>
        <w:t xml:space="preserve">ce that the </w:t>
      </w:r>
      <w:r w:rsidR="00B43ACC" w:rsidRPr="009B024D">
        <w:rPr>
          <w:spacing w:val="0"/>
          <w:kern w:val="2"/>
        </w:rPr>
        <w:t>PCA-HCCN</w:t>
      </w:r>
      <w:r w:rsidRPr="009B024D">
        <w:rPr>
          <w:spacing w:val="0"/>
          <w:kern w:val="2"/>
        </w:rPr>
        <w:t xml:space="preserve"> is managing f</w:t>
      </w:r>
      <w:r w:rsidR="001A7E9E" w:rsidRPr="009B024D">
        <w:rPr>
          <w:spacing w:val="0"/>
          <w:kern w:val="2"/>
        </w:rPr>
        <w:t xml:space="preserve">ederal awards in compliance with applicable laws, regulations and the provisions of the grant agreements that could have a </w:t>
      </w:r>
      <w:r w:rsidRPr="009B024D">
        <w:rPr>
          <w:spacing w:val="0"/>
          <w:kern w:val="2"/>
        </w:rPr>
        <w:t>material effect on each of the f</w:t>
      </w:r>
      <w:r w:rsidR="001A7E9E" w:rsidRPr="009B024D">
        <w:rPr>
          <w:spacing w:val="0"/>
          <w:kern w:val="2"/>
        </w:rPr>
        <w:t>ederal programs;</w:t>
      </w:r>
      <w:r w:rsidR="00860595" w:rsidRPr="009B024D">
        <w:rPr>
          <w:color w:val="000000"/>
          <w:spacing w:val="0"/>
          <w:kern w:val="2"/>
        </w:rPr>
        <w:t xml:space="preserve"> </w:t>
      </w:r>
    </w:p>
    <w:p w:rsidR="00031454" w:rsidRPr="009B024D" w:rsidRDefault="001A7E9E" w:rsidP="00031454">
      <w:pPr>
        <w:numPr>
          <w:ilvl w:val="0"/>
          <w:numId w:val="6"/>
        </w:numPr>
        <w:autoSpaceDE w:val="0"/>
        <w:autoSpaceDN w:val="0"/>
        <w:adjustRightInd w:val="0"/>
        <w:ind w:left="1080"/>
        <w:jc w:val="both"/>
        <w:rPr>
          <w:color w:val="000000"/>
          <w:spacing w:val="0"/>
          <w:kern w:val="2"/>
        </w:rPr>
      </w:pPr>
      <w:r w:rsidRPr="009B024D">
        <w:rPr>
          <w:spacing w:val="0"/>
          <w:kern w:val="2"/>
        </w:rPr>
        <w:t>Comply with laws, regulations and provisions of grant agr</w:t>
      </w:r>
      <w:r w:rsidR="00641A95" w:rsidRPr="009B024D">
        <w:rPr>
          <w:spacing w:val="0"/>
          <w:kern w:val="2"/>
        </w:rPr>
        <w:t>eements related to each of its f</w:t>
      </w:r>
      <w:r w:rsidRPr="009B024D">
        <w:rPr>
          <w:spacing w:val="0"/>
          <w:kern w:val="2"/>
        </w:rPr>
        <w:t>ederal programs;</w:t>
      </w:r>
      <w:r w:rsidR="00031454" w:rsidRPr="009B024D">
        <w:rPr>
          <w:color w:val="000000"/>
          <w:spacing w:val="0"/>
          <w:kern w:val="2"/>
        </w:rPr>
        <w:t xml:space="preserve"> </w:t>
      </w:r>
    </w:p>
    <w:p w:rsidR="001A7E9E" w:rsidRPr="009B024D" w:rsidRDefault="001A7E9E" w:rsidP="00031454">
      <w:pPr>
        <w:pStyle w:val="BodyText"/>
        <w:tabs>
          <w:tab w:val="left" w:pos="-1440"/>
          <w:tab w:val="left" w:pos="90"/>
        </w:tabs>
        <w:ind w:left="720"/>
        <w:jc w:val="both"/>
        <w:rPr>
          <w:spacing w:val="0"/>
          <w:kern w:val="2"/>
          <w:sz w:val="24"/>
        </w:rPr>
      </w:pPr>
    </w:p>
    <w:p w:rsidR="00031454" w:rsidRPr="009B024D" w:rsidRDefault="001A7E9E" w:rsidP="00031454">
      <w:pPr>
        <w:numPr>
          <w:ilvl w:val="0"/>
          <w:numId w:val="6"/>
        </w:numPr>
        <w:autoSpaceDE w:val="0"/>
        <w:autoSpaceDN w:val="0"/>
        <w:adjustRightInd w:val="0"/>
        <w:ind w:left="1080"/>
        <w:jc w:val="both"/>
        <w:rPr>
          <w:color w:val="000000"/>
          <w:spacing w:val="0"/>
          <w:kern w:val="2"/>
        </w:rPr>
      </w:pPr>
      <w:r w:rsidRPr="009B024D">
        <w:rPr>
          <w:spacing w:val="0"/>
          <w:kern w:val="2"/>
        </w:rPr>
        <w:lastRenderedPageBreak/>
        <w:t>Prepare appropriate financial statements, including t</w:t>
      </w:r>
      <w:r w:rsidR="00641A95" w:rsidRPr="009B024D">
        <w:rPr>
          <w:spacing w:val="0"/>
          <w:kern w:val="2"/>
        </w:rPr>
        <w:t>he schedule of expenditures of f</w:t>
      </w:r>
      <w:r w:rsidRPr="009B024D">
        <w:rPr>
          <w:spacing w:val="0"/>
          <w:kern w:val="2"/>
        </w:rPr>
        <w:t>ederal awards;</w:t>
      </w:r>
      <w:r w:rsidR="00031454" w:rsidRPr="009B024D">
        <w:rPr>
          <w:color w:val="000000"/>
          <w:spacing w:val="0"/>
          <w:kern w:val="2"/>
        </w:rPr>
        <w:t xml:space="preserve"> </w:t>
      </w:r>
    </w:p>
    <w:p w:rsidR="001A7E9E" w:rsidRPr="009B024D" w:rsidRDefault="001A7E9E" w:rsidP="00031454">
      <w:pPr>
        <w:pStyle w:val="BodyText"/>
        <w:tabs>
          <w:tab w:val="left" w:pos="-1440"/>
          <w:tab w:val="left" w:pos="90"/>
        </w:tabs>
        <w:ind w:left="720"/>
        <w:jc w:val="both"/>
        <w:rPr>
          <w:spacing w:val="0"/>
          <w:kern w:val="2"/>
          <w:sz w:val="24"/>
        </w:rPr>
      </w:pPr>
    </w:p>
    <w:p w:rsidR="00031454" w:rsidRPr="009B024D" w:rsidRDefault="001A7E9E" w:rsidP="00031454">
      <w:pPr>
        <w:numPr>
          <w:ilvl w:val="0"/>
          <w:numId w:val="6"/>
        </w:numPr>
        <w:autoSpaceDE w:val="0"/>
        <w:autoSpaceDN w:val="0"/>
        <w:adjustRightInd w:val="0"/>
        <w:ind w:left="1080"/>
        <w:jc w:val="both"/>
        <w:rPr>
          <w:color w:val="000000"/>
          <w:spacing w:val="0"/>
          <w:kern w:val="2"/>
        </w:rPr>
      </w:pPr>
      <w:r w:rsidRPr="009B024D">
        <w:rPr>
          <w:spacing w:val="0"/>
          <w:kern w:val="2"/>
        </w:rPr>
        <w:t xml:space="preserve">Ensure that the </w:t>
      </w:r>
      <w:r w:rsidR="009E7474" w:rsidRPr="009B024D">
        <w:rPr>
          <w:spacing w:val="0"/>
          <w:kern w:val="2"/>
        </w:rPr>
        <w:t>annual non-federal</w:t>
      </w:r>
      <w:r w:rsidRPr="009B024D">
        <w:rPr>
          <w:spacing w:val="0"/>
          <w:kern w:val="2"/>
        </w:rPr>
        <w:t xml:space="preserve"> audit is properly performed and submitted when due (including required portions of the data collection form); and</w:t>
      </w:r>
    </w:p>
    <w:p w:rsidR="001A7E9E" w:rsidRPr="009B024D" w:rsidRDefault="001A7E9E" w:rsidP="00031454">
      <w:pPr>
        <w:pStyle w:val="BodyText"/>
        <w:tabs>
          <w:tab w:val="left" w:pos="-1440"/>
          <w:tab w:val="left" w:pos="90"/>
        </w:tabs>
        <w:ind w:left="720"/>
        <w:jc w:val="both"/>
        <w:rPr>
          <w:spacing w:val="0"/>
          <w:kern w:val="2"/>
          <w:sz w:val="24"/>
        </w:rPr>
      </w:pPr>
    </w:p>
    <w:p w:rsidR="00031454" w:rsidRPr="009B024D" w:rsidRDefault="001A7E9E" w:rsidP="00031454">
      <w:pPr>
        <w:numPr>
          <w:ilvl w:val="0"/>
          <w:numId w:val="6"/>
        </w:numPr>
        <w:autoSpaceDE w:val="0"/>
        <w:autoSpaceDN w:val="0"/>
        <w:adjustRightInd w:val="0"/>
        <w:ind w:left="1080"/>
        <w:jc w:val="both"/>
        <w:rPr>
          <w:color w:val="000000"/>
          <w:spacing w:val="0"/>
          <w:kern w:val="2"/>
        </w:rPr>
      </w:pPr>
      <w:r w:rsidRPr="009B024D">
        <w:rPr>
          <w:spacing w:val="0"/>
          <w:kern w:val="2"/>
        </w:rPr>
        <w:t xml:space="preserve">As necessary, take corrective action on audit findings, including preparation of a summary schedule of audit findings (as identified by the auditor) and preparing a corrective action plan. </w:t>
      </w:r>
    </w:p>
    <w:p w:rsidR="00FB6C89" w:rsidRPr="009B024D" w:rsidRDefault="00FB6C89" w:rsidP="00031454">
      <w:pPr>
        <w:pStyle w:val="BodyText"/>
        <w:tabs>
          <w:tab w:val="left" w:pos="-1440"/>
          <w:tab w:val="left" w:pos="90"/>
          <w:tab w:val="left" w:pos="720"/>
        </w:tabs>
        <w:ind w:left="720"/>
        <w:jc w:val="both"/>
        <w:rPr>
          <w:spacing w:val="0"/>
          <w:kern w:val="2"/>
          <w:sz w:val="24"/>
        </w:rPr>
      </w:pPr>
    </w:p>
    <w:p w:rsidR="001A7E9E" w:rsidRPr="009B024D" w:rsidRDefault="001A7E9E" w:rsidP="009D75E6">
      <w:pPr>
        <w:pStyle w:val="BodyText"/>
        <w:tabs>
          <w:tab w:val="left" w:pos="-1440"/>
          <w:tab w:val="left" w:pos="90"/>
          <w:tab w:val="left" w:pos="720"/>
        </w:tabs>
        <w:jc w:val="both"/>
        <w:rPr>
          <w:spacing w:val="0"/>
          <w:kern w:val="2"/>
          <w:sz w:val="24"/>
        </w:rPr>
      </w:pPr>
      <w:r w:rsidRPr="009B024D">
        <w:rPr>
          <w:spacing w:val="0"/>
          <w:kern w:val="2"/>
          <w:sz w:val="24"/>
        </w:rPr>
        <w:t xml:space="preserve">The </w:t>
      </w:r>
      <w:r w:rsidR="00696017" w:rsidRPr="009B024D">
        <w:rPr>
          <w:spacing w:val="0"/>
          <w:kern w:val="2"/>
          <w:sz w:val="24"/>
        </w:rPr>
        <w:t>auditee must submit its annual non-federal</w:t>
      </w:r>
      <w:r w:rsidRPr="009B024D">
        <w:rPr>
          <w:spacing w:val="0"/>
          <w:kern w:val="2"/>
          <w:sz w:val="24"/>
        </w:rPr>
        <w:t xml:space="preserve"> audit </w:t>
      </w:r>
      <w:r w:rsidR="00696017" w:rsidRPr="009B024D">
        <w:rPr>
          <w:spacing w:val="0"/>
          <w:kern w:val="2"/>
          <w:sz w:val="24"/>
        </w:rPr>
        <w:t>to the Fed</w:t>
      </w:r>
      <w:r w:rsidR="007C71CE" w:rsidRPr="009B024D">
        <w:rPr>
          <w:spacing w:val="0"/>
          <w:kern w:val="2"/>
          <w:sz w:val="24"/>
        </w:rPr>
        <w:t>eral Audit Clearinghouse within</w:t>
      </w:r>
      <w:r w:rsidRPr="009B024D">
        <w:rPr>
          <w:spacing w:val="0"/>
          <w:kern w:val="2"/>
          <w:sz w:val="24"/>
        </w:rPr>
        <w:t xml:space="preserve"> nine (9) months after the end of </w:t>
      </w:r>
      <w:r w:rsidR="0072299B" w:rsidRPr="009B024D">
        <w:rPr>
          <w:spacing w:val="0"/>
          <w:kern w:val="2"/>
          <w:sz w:val="24"/>
        </w:rPr>
        <w:t>its</w:t>
      </w:r>
      <w:r w:rsidRPr="009B024D">
        <w:rPr>
          <w:spacing w:val="0"/>
          <w:kern w:val="2"/>
          <w:sz w:val="24"/>
        </w:rPr>
        <w:t xml:space="preserve"> fiscal year or within thirty (30) days after receipt from the auditor, whichever is earlier.</w:t>
      </w:r>
    </w:p>
    <w:p w:rsidR="001A7E9E" w:rsidRPr="009B024D" w:rsidRDefault="001A7E9E" w:rsidP="009D75E6">
      <w:pPr>
        <w:jc w:val="both"/>
        <w:rPr>
          <w:spacing w:val="0"/>
          <w:kern w:val="2"/>
        </w:rPr>
      </w:pPr>
    </w:p>
    <w:p w:rsidR="001A7E9E" w:rsidRPr="009B024D" w:rsidRDefault="000728EC" w:rsidP="009D75E6">
      <w:pPr>
        <w:jc w:val="both"/>
        <w:rPr>
          <w:spacing w:val="0"/>
          <w:kern w:val="2"/>
        </w:rPr>
      </w:pPr>
      <w:r w:rsidRPr="009B024D">
        <w:rPr>
          <w:b/>
          <w:spacing w:val="0"/>
          <w:kern w:val="2"/>
        </w:rPr>
        <w:t>Advice and Recommendations</w:t>
      </w:r>
      <w:r w:rsidR="00641A95" w:rsidRPr="009B024D">
        <w:rPr>
          <w:rStyle w:val="FootnoteReference"/>
          <w:b/>
          <w:spacing w:val="0"/>
          <w:kern w:val="2"/>
        </w:rPr>
        <w:footnoteReference w:id="2"/>
      </w:r>
    </w:p>
    <w:p w:rsidR="001A7E9E" w:rsidRPr="009B024D" w:rsidRDefault="001A7E9E" w:rsidP="009D75E6">
      <w:pPr>
        <w:jc w:val="both"/>
        <w:rPr>
          <w:spacing w:val="0"/>
          <w:kern w:val="2"/>
        </w:rPr>
      </w:pPr>
    </w:p>
    <w:p w:rsidR="001A7E9E" w:rsidRPr="009B024D" w:rsidRDefault="001A7E9E" w:rsidP="009D75E6">
      <w:pPr>
        <w:tabs>
          <w:tab w:val="left" w:pos="-1440"/>
        </w:tabs>
        <w:jc w:val="both"/>
        <w:rPr>
          <w:spacing w:val="0"/>
          <w:kern w:val="2"/>
        </w:rPr>
      </w:pPr>
      <w:r w:rsidRPr="009B024D">
        <w:rPr>
          <w:spacing w:val="0"/>
          <w:kern w:val="2"/>
        </w:rPr>
        <w:t xml:space="preserve">As noted above, only those </w:t>
      </w:r>
      <w:r w:rsidR="00B43ACC" w:rsidRPr="009B024D">
        <w:rPr>
          <w:spacing w:val="0"/>
          <w:kern w:val="2"/>
        </w:rPr>
        <w:t>PCAs</w:t>
      </w:r>
      <w:r w:rsidRPr="009B024D">
        <w:rPr>
          <w:spacing w:val="0"/>
          <w:kern w:val="2"/>
        </w:rPr>
        <w:t xml:space="preserve"> that expend </w:t>
      </w:r>
      <w:r w:rsidR="00115501" w:rsidRPr="009B024D">
        <w:rPr>
          <w:spacing w:val="0"/>
          <w:kern w:val="2"/>
        </w:rPr>
        <w:t>in excess</w:t>
      </w:r>
      <w:r w:rsidR="0097452B" w:rsidRPr="009B024D">
        <w:rPr>
          <w:spacing w:val="0"/>
          <w:kern w:val="2"/>
        </w:rPr>
        <w:t xml:space="preserve"> of $500,000</w:t>
      </w:r>
      <w:r w:rsidR="00115501" w:rsidRPr="009B024D">
        <w:rPr>
          <w:spacing w:val="0"/>
          <w:kern w:val="2"/>
        </w:rPr>
        <w:t xml:space="preserve"> (project periods beginning before December 26, 2014) or $750,000 (project periods beginning after December 26, 2014)</w:t>
      </w:r>
      <w:r w:rsidR="0097452B" w:rsidRPr="009B024D">
        <w:rPr>
          <w:spacing w:val="0"/>
          <w:kern w:val="2"/>
        </w:rPr>
        <w:t xml:space="preserve"> in f</w:t>
      </w:r>
      <w:r w:rsidRPr="009B024D">
        <w:rPr>
          <w:spacing w:val="0"/>
          <w:kern w:val="2"/>
        </w:rPr>
        <w:t>ederal grant funds</w:t>
      </w:r>
      <w:r w:rsidR="000B3D7F" w:rsidRPr="009B024D">
        <w:rPr>
          <w:spacing w:val="0"/>
          <w:kern w:val="2"/>
        </w:rPr>
        <w:t xml:space="preserve"> annually</w:t>
      </w:r>
      <w:r w:rsidRPr="009B024D">
        <w:rPr>
          <w:spacing w:val="0"/>
          <w:kern w:val="2"/>
        </w:rPr>
        <w:t xml:space="preserve"> are required to conduct an audit that complies with the requirements of </w:t>
      </w:r>
      <w:r w:rsidR="000B3D7F" w:rsidRPr="009B024D">
        <w:rPr>
          <w:spacing w:val="0"/>
          <w:kern w:val="2"/>
        </w:rPr>
        <w:t xml:space="preserve">OMB Circular </w:t>
      </w:r>
      <w:r w:rsidRPr="009B024D">
        <w:rPr>
          <w:spacing w:val="0"/>
          <w:kern w:val="2"/>
        </w:rPr>
        <w:t>A-133</w:t>
      </w:r>
      <w:r w:rsidR="000B3D7F" w:rsidRPr="009B024D">
        <w:rPr>
          <w:spacing w:val="0"/>
          <w:kern w:val="2"/>
        </w:rPr>
        <w:t xml:space="preserve"> and/or 45 C.F.R. Part 75 Subpart F</w:t>
      </w:r>
      <w:r w:rsidR="00F3497F" w:rsidRPr="009B024D">
        <w:rPr>
          <w:spacing w:val="0"/>
          <w:kern w:val="2"/>
        </w:rPr>
        <w:t>.</w:t>
      </w:r>
      <w:r w:rsidRPr="009B024D">
        <w:rPr>
          <w:spacing w:val="0"/>
          <w:kern w:val="2"/>
        </w:rPr>
        <w:t xml:space="preserve"> </w:t>
      </w:r>
      <w:r w:rsidR="00AF6562" w:rsidRPr="009B024D">
        <w:rPr>
          <w:spacing w:val="0"/>
          <w:kern w:val="2"/>
        </w:rPr>
        <w:t>It</w:t>
      </w:r>
      <w:r w:rsidRPr="009B024D">
        <w:rPr>
          <w:spacing w:val="0"/>
          <w:kern w:val="2"/>
        </w:rPr>
        <w:t xml:space="preserve"> is</w:t>
      </w:r>
      <w:r w:rsidR="00AF6562" w:rsidRPr="009B024D">
        <w:rPr>
          <w:spacing w:val="0"/>
          <w:kern w:val="2"/>
        </w:rPr>
        <w:t xml:space="preserve"> nonetheless</w:t>
      </w:r>
      <w:r w:rsidRPr="009B024D">
        <w:rPr>
          <w:spacing w:val="0"/>
          <w:kern w:val="2"/>
        </w:rPr>
        <w:t xml:space="preserve"> advisa</w:t>
      </w:r>
      <w:r w:rsidR="001C2A2D" w:rsidRPr="009B024D">
        <w:rPr>
          <w:spacing w:val="0"/>
          <w:kern w:val="2"/>
        </w:rPr>
        <w:t>ble that, to the extent possible</w:t>
      </w:r>
      <w:r w:rsidRPr="009B024D">
        <w:rPr>
          <w:spacing w:val="0"/>
          <w:kern w:val="2"/>
        </w:rPr>
        <w:t xml:space="preserve">, </w:t>
      </w:r>
      <w:r w:rsidR="00B43ACC" w:rsidRPr="009B024D">
        <w:rPr>
          <w:spacing w:val="0"/>
          <w:kern w:val="2"/>
        </w:rPr>
        <w:t>PCA</w:t>
      </w:r>
      <w:r w:rsidR="00AF6562" w:rsidRPr="009B024D">
        <w:rPr>
          <w:spacing w:val="0"/>
          <w:kern w:val="2"/>
        </w:rPr>
        <w:t>s</w:t>
      </w:r>
      <w:r w:rsidRPr="009B024D">
        <w:rPr>
          <w:spacing w:val="0"/>
          <w:kern w:val="2"/>
        </w:rPr>
        <w:t xml:space="preserve"> that </w:t>
      </w:r>
      <w:r w:rsidR="001C2A2D" w:rsidRPr="009B024D">
        <w:rPr>
          <w:spacing w:val="0"/>
          <w:kern w:val="2"/>
        </w:rPr>
        <w:t xml:space="preserve">do not meet </w:t>
      </w:r>
      <w:r w:rsidRPr="009B024D">
        <w:rPr>
          <w:spacing w:val="0"/>
          <w:kern w:val="2"/>
        </w:rPr>
        <w:t xml:space="preserve">the </w:t>
      </w:r>
      <w:r w:rsidR="00AF6562" w:rsidRPr="009B024D">
        <w:rPr>
          <w:spacing w:val="0"/>
          <w:kern w:val="2"/>
        </w:rPr>
        <w:t xml:space="preserve">expenditure </w:t>
      </w:r>
      <w:r w:rsidRPr="009B024D">
        <w:rPr>
          <w:spacing w:val="0"/>
          <w:kern w:val="2"/>
        </w:rPr>
        <w:t>threshold</w:t>
      </w:r>
      <w:r w:rsidR="001C2A2D" w:rsidRPr="009B024D">
        <w:rPr>
          <w:spacing w:val="0"/>
          <w:kern w:val="2"/>
        </w:rPr>
        <w:t>s</w:t>
      </w:r>
      <w:r w:rsidRPr="009B024D">
        <w:rPr>
          <w:spacing w:val="0"/>
          <w:kern w:val="2"/>
        </w:rPr>
        <w:t xml:space="preserve"> also comply with such requirements. </w:t>
      </w:r>
    </w:p>
    <w:p w:rsidR="001A7E9E" w:rsidRPr="009B024D" w:rsidRDefault="001A7E9E" w:rsidP="009D75E6">
      <w:pPr>
        <w:pStyle w:val="BodyText"/>
        <w:tabs>
          <w:tab w:val="left" w:pos="-1440"/>
          <w:tab w:val="left" w:pos="90"/>
          <w:tab w:val="left" w:pos="720"/>
        </w:tabs>
        <w:jc w:val="both"/>
        <w:rPr>
          <w:spacing w:val="0"/>
          <w:kern w:val="2"/>
          <w:sz w:val="24"/>
        </w:rPr>
      </w:pPr>
    </w:p>
    <w:p w:rsidR="00031454" w:rsidRPr="009B024D" w:rsidRDefault="00A458B4" w:rsidP="00031454">
      <w:pPr>
        <w:numPr>
          <w:ilvl w:val="0"/>
          <w:numId w:val="6"/>
        </w:numPr>
        <w:autoSpaceDE w:val="0"/>
        <w:autoSpaceDN w:val="0"/>
        <w:adjustRightInd w:val="0"/>
        <w:ind w:left="1080"/>
        <w:jc w:val="both"/>
        <w:rPr>
          <w:color w:val="000000"/>
          <w:spacing w:val="0"/>
          <w:kern w:val="2"/>
        </w:rPr>
      </w:pPr>
      <w:r w:rsidRPr="009B024D">
        <w:rPr>
          <w:spacing w:val="0"/>
          <w:kern w:val="2"/>
        </w:rPr>
        <w:fldChar w:fldCharType="begin"/>
      </w:r>
      <w:r w:rsidR="00A80F93" w:rsidRPr="009B024D">
        <w:rPr>
          <w:spacing w:val="0"/>
          <w:kern w:val="2"/>
        </w:rPr>
        <w:instrText>HYPERLINK "https://www.healthcentercompliance.com/subscriber/pca-toolkit/volume-2/823"</w:instrText>
      </w:r>
      <w:r w:rsidRPr="009B024D">
        <w:rPr>
          <w:spacing w:val="0"/>
          <w:kern w:val="2"/>
        </w:rPr>
        <w:fldChar w:fldCharType="separate"/>
      </w:r>
      <w:r w:rsidR="00166A90" w:rsidRPr="009B024D">
        <w:rPr>
          <w:rStyle w:val="Hyperlink"/>
          <w:spacing w:val="0"/>
          <w:kern w:val="2"/>
        </w:rPr>
        <w:t>Conducting the federal audit: Sample policy and procedure</w:t>
      </w:r>
    </w:p>
    <w:p w:rsidR="00166A90" w:rsidRPr="009B024D" w:rsidRDefault="00A458B4" w:rsidP="006947CC">
      <w:pPr>
        <w:pStyle w:val="BodyText"/>
        <w:tabs>
          <w:tab w:val="left" w:pos="-1440"/>
          <w:tab w:val="left" w:pos="90"/>
          <w:tab w:val="left" w:pos="720"/>
        </w:tabs>
        <w:ind w:left="1080"/>
        <w:jc w:val="both"/>
        <w:rPr>
          <w:spacing w:val="0"/>
          <w:kern w:val="2"/>
          <w:sz w:val="24"/>
        </w:rPr>
      </w:pPr>
      <w:r w:rsidRPr="009B024D">
        <w:rPr>
          <w:spacing w:val="0"/>
          <w:kern w:val="2"/>
          <w:sz w:val="24"/>
        </w:rPr>
        <w:fldChar w:fldCharType="end"/>
      </w:r>
    </w:p>
    <w:p w:rsidR="008C1646" w:rsidRPr="009B024D" w:rsidRDefault="00E1167F" w:rsidP="009D75E6">
      <w:pPr>
        <w:pStyle w:val="BodyText"/>
        <w:tabs>
          <w:tab w:val="left" w:pos="-1440"/>
          <w:tab w:val="left" w:pos="90"/>
          <w:tab w:val="left" w:pos="720"/>
        </w:tabs>
        <w:jc w:val="both"/>
        <w:rPr>
          <w:spacing w:val="0"/>
          <w:kern w:val="2"/>
          <w:sz w:val="24"/>
        </w:rPr>
      </w:pPr>
      <w:r w:rsidRPr="009B024D">
        <w:rPr>
          <w:spacing w:val="0"/>
          <w:kern w:val="2"/>
          <w:sz w:val="24"/>
        </w:rPr>
        <w:t>Ideally</w:t>
      </w:r>
      <w:r w:rsidR="001A7E9E" w:rsidRPr="009B024D">
        <w:rPr>
          <w:spacing w:val="0"/>
          <w:kern w:val="2"/>
          <w:sz w:val="24"/>
        </w:rPr>
        <w:t xml:space="preserve">, the result of </w:t>
      </w:r>
      <w:r w:rsidRPr="009B024D">
        <w:rPr>
          <w:spacing w:val="0"/>
          <w:kern w:val="2"/>
          <w:sz w:val="24"/>
        </w:rPr>
        <w:t>the</w:t>
      </w:r>
      <w:r w:rsidR="001A7E9E" w:rsidRPr="009B024D">
        <w:rPr>
          <w:spacing w:val="0"/>
          <w:kern w:val="2"/>
          <w:sz w:val="24"/>
        </w:rPr>
        <w:t xml:space="preserve"> audit will be an unqualified opinion with the following characteristics: gross charges exceeding billable expenses, acceptable financial ratios, and minimal (</w:t>
      </w:r>
      <w:r w:rsidR="00F3497F" w:rsidRPr="009B024D">
        <w:rPr>
          <w:spacing w:val="0"/>
          <w:kern w:val="2"/>
          <w:sz w:val="24"/>
        </w:rPr>
        <w:t>or no) material audit findings.</w:t>
      </w:r>
      <w:r w:rsidR="001A7E9E" w:rsidRPr="009B024D">
        <w:rPr>
          <w:spacing w:val="0"/>
          <w:kern w:val="2"/>
          <w:sz w:val="24"/>
        </w:rPr>
        <w:t xml:space="preserve"> </w:t>
      </w:r>
      <w:r w:rsidR="00BD0B06" w:rsidRPr="009B024D">
        <w:rPr>
          <w:spacing w:val="0"/>
          <w:kern w:val="2"/>
          <w:sz w:val="24"/>
        </w:rPr>
        <w:t>I</w:t>
      </w:r>
      <w:r w:rsidR="001A7E9E" w:rsidRPr="009B024D">
        <w:rPr>
          <w:spacing w:val="0"/>
          <w:kern w:val="2"/>
          <w:sz w:val="24"/>
        </w:rPr>
        <w:t>f</w:t>
      </w:r>
      <w:r w:rsidR="00BD0B06" w:rsidRPr="009B024D">
        <w:rPr>
          <w:spacing w:val="0"/>
          <w:kern w:val="2"/>
          <w:sz w:val="24"/>
        </w:rPr>
        <w:t>, however,</w:t>
      </w:r>
      <w:r w:rsidR="00B27474" w:rsidRPr="009B024D">
        <w:rPr>
          <w:spacing w:val="0"/>
          <w:kern w:val="2"/>
          <w:sz w:val="24"/>
        </w:rPr>
        <w:t xml:space="preserve"> there are audit findings,</w:t>
      </w:r>
      <w:r w:rsidR="001A7E9E" w:rsidRPr="009B024D">
        <w:rPr>
          <w:spacing w:val="0"/>
          <w:kern w:val="2"/>
          <w:sz w:val="24"/>
        </w:rPr>
        <w:t xml:space="preserve"> grantees are expected to undertake timely and appropriate </w:t>
      </w:r>
      <w:r w:rsidR="00F3497F" w:rsidRPr="009B024D">
        <w:rPr>
          <w:spacing w:val="0"/>
          <w:kern w:val="2"/>
          <w:sz w:val="24"/>
        </w:rPr>
        <w:t>steps to resolve such findings.</w:t>
      </w:r>
      <w:r w:rsidR="001A7E9E" w:rsidRPr="009B024D">
        <w:rPr>
          <w:spacing w:val="0"/>
          <w:kern w:val="2"/>
          <w:sz w:val="24"/>
        </w:rPr>
        <w:t xml:space="preserve"> </w:t>
      </w:r>
    </w:p>
    <w:p w:rsidR="008C1646" w:rsidRPr="009B024D" w:rsidRDefault="008C1646" w:rsidP="009D75E6">
      <w:pPr>
        <w:pStyle w:val="BodyText"/>
        <w:tabs>
          <w:tab w:val="left" w:pos="-1440"/>
          <w:tab w:val="left" w:pos="90"/>
          <w:tab w:val="left" w:pos="720"/>
        </w:tabs>
        <w:jc w:val="both"/>
        <w:rPr>
          <w:spacing w:val="0"/>
          <w:kern w:val="2"/>
          <w:sz w:val="24"/>
        </w:rPr>
      </w:pPr>
    </w:p>
    <w:p w:rsidR="001A7E9E" w:rsidRPr="009B024D" w:rsidRDefault="00B27474" w:rsidP="009D75E6">
      <w:pPr>
        <w:pStyle w:val="BodyText"/>
        <w:tabs>
          <w:tab w:val="left" w:pos="-1440"/>
          <w:tab w:val="left" w:pos="90"/>
          <w:tab w:val="left" w:pos="720"/>
        </w:tabs>
        <w:jc w:val="both"/>
        <w:rPr>
          <w:spacing w:val="0"/>
          <w:kern w:val="2"/>
          <w:sz w:val="24"/>
        </w:rPr>
      </w:pPr>
      <w:r w:rsidRPr="009B024D">
        <w:rPr>
          <w:spacing w:val="0"/>
          <w:kern w:val="2"/>
          <w:sz w:val="24"/>
        </w:rPr>
        <w:t>PCA</w:t>
      </w:r>
      <w:r w:rsidR="008C1646" w:rsidRPr="009B024D">
        <w:rPr>
          <w:spacing w:val="0"/>
          <w:kern w:val="2"/>
          <w:sz w:val="24"/>
        </w:rPr>
        <w:t>s</w:t>
      </w:r>
      <w:r w:rsidRPr="009B024D">
        <w:rPr>
          <w:spacing w:val="0"/>
          <w:kern w:val="2"/>
          <w:sz w:val="24"/>
        </w:rPr>
        <w:t>-HCCNs</w:t>
      </w:r>
      <w:r w:rsidR="008C1646" w:rsidRPr="009B024D">
        <w:rPr>
          <w:spacing w:val="0"/>
          <w:kern w:val="2"/>
          <w:sz w:val="24"/>
        </w:rPr>
        <w:t xml:space="preserve"> should note</w:t>
      </w:r>
      <w:r w:rsidR="001A7E9E" w:rsidRPr="009B024D">
        <w:rPr>
          <w:spacing w:val="0"/>
          <w:kern w:val="2"/>
          <w:sz w:val="24"/>
        </w:rPr>
        <w:t xml:space="preserve"> while the costs of the </w:t>
      </w:r>
      <w:r w:rsidR="00BD0B06" w:rsidRPr="009B024D">
        <w:rPr>
          <w:spacing w:val="0"/>
          <w:kern w:val="2"/>
          <w:sz w:val="24"/>
        </w:rPr>
        <w:t>non-federal</w:t>
      </w:r>
      <w:r w:rsidR="0097452B" w:rsidRPr="009B024D">
        <w:rPr>
          <w:spacing w:val="0"/>
          <w:kern w:val="2"/>
          <w:sz w:val="24"/>
        </w:rPr>
        <w:t xml:space="preserve"> audit may be charged to a f</w:t>
      </w:r>
      <w:r w:rsidR="001A7E9E" w:rsidRPr="009B024D">
        <w:rPr>
          <w:spacing w:val="0"/>
          <w:kern w:val="2"/>
          <w:sz w:val="24"/>
        </w:rPr>
        <w:t>ederal grant award, the cost of a deficient audit that is rejected</w:t>
      </w:r>
      <w:r w:rsidR="007E0526" w:rsidRPr="009B024D">
        <w:rPr>
          <w:spacing w:val="0"/>
          <w:kern w:val="2"/>
          <w:sz w:val="24"/>
        </w:rPr>
        <w:t xml:space="preserve"> by the government may not be</w:t>
      </w:r>
      <w:r w:rsidR="001A7E9E" w:rsidRPr="009B024D">
        <w:rPr>
          <w:spacing w:val="0"/>
          <w:kern w:val="2"/>
          <w:sz w:val="24"/>
        </w:rPr>
        <w:t xml:space="preserve"> charged</w:t>
      </w:r>
      <w:r w:rsidR="007E0526" w:rsidRPr="009B024D">
        <w:rPr>
          <w:spacing w:val="0"/>
          <w:kern w:val="2"/>
          <w:sz w:val="24"/>
        </w:rPr>
        <w:t xml:space="preserve"> to a federal grant award</w:t>
      </w:r>
      <w:r w:rsidR="001A7E9E" w:rsidRPr="009B024D">
        <w:rPr>
          <w:spacing w:val="0"/>
          <w:kern w:val="2"/>
          <w:sz w:val="24"/>
        </w:rPr>
        <w:t>.</w:t>
      </w:r>
    </w:p>
    <w:p w:rsidR="00FB6C89" w:rsidRPr="009B024D" w:rsidRDefault="00FB6C89" w:rsidP="009D75E6">
      <w:pPr>
        <w:tabs>
          <w:tab w:val="left" w:pos="-1440"/>
        </w:tabs>
        <w:jc w:val="both"/>
        <w:rPr>
          <w:spacing w:val="0"/>
          <w:kern w:val="2"/>
        </w:rPr>
      </w:pPr>
    </w:p>
    <w:p w:rsidR="001A7E9E" w:rsidRPr="009B024D" w:rsidRDefault="001A7E9E" w:rsidP="009D75E6">
      <w:pPr>
        <w:tabs>
          <w:tab w:val="left" w:pos="-1440"/>
        </w:tabs>
        <w:jc w:val="both"/>
        <w:rPr>
          <w:spacing w:val="0"/>
          <w:kern w:val="2"/>
        </w:rPr>
      </w:pPr>
      <w:r w:rsidRPr="009B024D">
        <w:rPr>
          <w:spacing w:val="0"/>
          <w:kern w:val="2"/>
        </w:rPr>
        <w:t>Consistent with a renewed emphasis on auditor independence</w:t>
      </w:r>
      <w:r w:rsidR="00B05B76" w:rsidRPr="009B024D">
        <w:rPr>
          <w:spacing w:val="0"/>
          <w:kern w:val="2"/>
        </w:rPr>
        <w:t xml:space="preserve"> in recent years</w:t>
      </w:r>
      <w:r w:rsidRPr="009B024D">
        <w:rPr>
          <w:spacing w:val="0"/>
          <w:kern w:val="2"/>
        </w:rPr>
        <w:t xml:space="preserve">, auditors are precluded from performing </w:t>
      </w:r>
      <w:r w:rsidR="00B05B76" w:rsidRPr="009B024D">
        <w:rPr>
          <w:spacing w:val="0"/>
          <w:kern w:val="2"/>
        </w:rPr>
        <w:t>the annual</w:t>
      </w:r>
      <w:r w:rsidRPr="009B024D">
        <w:rPr>
          <w:spacing w:val="0"/>
          <w:kern w:val="2"/>
        </w:rPr>
        <w:t xml:space="preserve"> audit </w:t>
      </w:r>
      <w:r w:rsidR="000867C1" w:rsidRPr="009B024D">
        <w:rPr>
          <w:spacing w:val="0"/>
          <w:kern w:val="2"/>
        </w:rPr>
        <w:t xml:space="preserve">while at the same time </w:t>
      </w:r>
      <w:r w:rsidRPr="009B024D">
        <w:rPr>
          <w:spacing w:val="0"/>
          <w:kern w:val="2"/>
        </w:rPr>
        <w:t>providing certain non-audit management c</w:t>
      </w:r>
      <w:r w:rsidR="008B704F" w:rsidRPr="009B024D">
        <w:rPr>
          <w:spacing w:val="0"/>
          <w:kern w:val="2"/>
        </w:rPr>
        <w:t xml:space="preserve">onsulting services to </w:t>
      </w:r>
      <w:r w:rsidR="00B27474" w:rsidRPr="009B024D">
        <w:rPr>
          <w:spacing w:val="0"/>
          <w:kern w:val="2"/>
        </w:rPr>
        <w:t>a given PCA-HCCN</w:t>
      </w:r>
      <w:r w:rsidR="000867C1" w:rsidRPr="009B024D">
        <w:rPr>
          <w:spacing w:val="0"/>
          <w:kern w:val="2"/>
        </w:rPr>
        <w:t xml:space="preserve"> grantee</w:t>
      </w:r>
      <w:r w:rsidR="00F3497F" w:rsidRPr="009B024D">
        <w:rPr>
          <w:spacing w:val="0"/>
          <w:kern w:val="2"/>
        </w:rPr>
        <w:t>.</w:t>
      </w:r>
      <w:r w:rsidR="008B704F" w:rsidRPr="009B024D">
        <w:rPr>
          <w:spacing w:val="0"/>
          <w:kern w:val="2"/>
        </w:rPr>
        <w:t xml:space="preserve"> </w:t>
      </w:r>
      <w:r w:rsidR="00607CAB" w:rsidRPr="009B024D">
        <w:rPr>
          <w:spacing w:val="0"/>
          <w:kern w:val="2"/>
        </w:rPr>
        <w:t>By way of illustration,</w:t>
      </w:r>
      <w:r w:rsidR="008B704F" w:rsidRPr="009B024D">
        <w:rPr>
          <w:spacing w:val="0"/>
          <w:kern w:val="2"/>
        </w:rPr>
        <w:t xml:space="preserve"> </w:t>
      </w:r>
      <w:r w:rsidR="008B704F" w:rsidRPr="009B024D">
        <w:rPr>
          <w:spacing w:val="0"/>
          <w:kern w:val="2"/>
        </w:rPr>
        <w:lastRenderedPageBreak/>
        <w:t>paragraph 3.</w:t>
      </w:r>
      <w:r w:rsidR="00376FFF" w:rsidRPr="009B024D">
        <w:rPr>
          <w:spacing w:val="0"/>
          <w:kern w:val="2"/>
        </w:rPr>
        <w:t xml:space="preserve">58 </w:t>
      </w:r>
      <w:r w:rsidR="008B704F" w:rsidRPr="009B024D">
        <w:rPr>
          <w:spacing w:val="0"/>
          <w:kern w:val="2"/>
        </w:rPr>
        <w:t>of the Yellow Book</w:t>
      </w:r>
      <w:r w:rsidRPr="009B024D">
        <w:rPr>
          <w:spacing w:val="0"/>
          <w:kern w:val="2"/>
        </w:rPr>
        <w:t xml:space="preserve"> </w:t>
      </w:r>
      <w:r w:rsidR="00607CAB" w:rsidRPr="009B024D">
        <w:rPr>
          <w:spacing w:val="0"/>
          <w:kern w:val="2"/>
        </w:rPr>
        <w:t xml:space="preserve">prohibits the simultaneous provision of audit and </w:t>
      </w:r>
      <w:r w:rsidRPr="009B024D">
        <w:rPr>
          <w:spacing w:val="0"/>
          <w:kern w:val="2"/>
        </w:rPr>
        <w:t xml:space="preserve">non-audit services </w:t>
      </w:r>
      <w:r w:rsidR="00D8420D" w:rsidRPr="009B024D">
        <w:rPr>
          <w:spacing w:val="0"/>
          <w:kern w:val="2"/>
        </w:rPr>
        <w:t>those relating to</w:t>
      </w:r>
      <w:r w:rsidRPr="009B024D">
        <w:rPr>
          <w:spacing w:val="0"/>
          <w:kern w:val="2"/>
        </w:rPr>
        <w:t xml:space="preserve">: </w:t>
      </w:r>
    </w:p>
    <w:p w:rsidR="001A7E9E" w:rsidRPr="009B024D" w:rsidRDefault="001A7E9E" w:rsidP="009D75E6">
      <w:pPr>
        <w:tabs>
          <w:tab w:val="left" w:pos="-1440"/>
        </w:tabs>
        <w:jc w:val="both"/>
        <w:rPr>
          <w:spacing w:val="0"/>
          <w:kern w:val="2"/>
        </w:rPr>
      </w:pP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p</w:t>
      </w:r>
      <w:r w:rsidR="00FD6E26" w:rsidRPr="009B024D">
        <w:rPr>
          <w:spacing w:val="0"/>
          <w:kern w:val="2"/>
        </w:rPr>
        <w:t>ayment or authorization of payment of auditee funds</w:t>
      </w:r>
      <w:r w:rsidR="008B704F" w:rsidRPr="009B024D">
        <w:rPr>
          <w:spacing w:val="0"/>
          <w:kern w:val="2"/>
        </w:rPr>
        <w:t>;</w:t>
      </w:r>
      <w:r w:rsidR="00852640" w:rsidRPr="009B024D">
        <w:rPr>
          <w:color w:val="000000"/>
          <w:spacing w:val="0"/>
          <w:kern w:val="2"/>
        </w:rPr>
        <w:t xml:space="preserve"> </w:t>
      </w: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B</w:t>
      </w:r>
      <w:r w:rsidR="00FD6E26" w:rsidRPr="009B024D">
        <w:rPr>
          <w:spacing w:val="0"/>
          <w:kern w:val="2"/>
        </w:rPr>
        <w:t>enefit plan administration</w:t>
      </w:r>
      <w:r w:rsidR="008B704F" w:rsidRPr="009B024D">
        <w:rPr>
          <w:spacing w:val="0"/>
          <w:kern w:val="2"/>
        </w:rPr>
        <w:t xml:space="preserve">; </w:t>
      </w: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I</w:t>
      </w:r>
      <w:r w:rsidR="003A221B" w:rsidRPr="009B024D">
        <w:rPr>
          <w:spacing w:val="0"/>
          <w:kern w:val="2"/>
        </w:rPr>
        <w:t>nvestment advisory or management services</w:t>
      </w:r>
      <w:r w:rsidR="008B704F" w:rsidRPr="009B024D">
        <w:rPr>
          <w:spacing w:val="0"/>
          <w:kern w:val="2"/>
        </w:rPr>
        <w:t>;</w:t>
      </w:r>
      <w:r w:rsidR="00852640" w:rsidRPr="009B024D">
        <w:rPr>
          <w:color w:val="000000"/>
          <w:spacing w:val="0"/>
          <w:kern w:val="2"/>
        </w:rPr>
        <w:t xml:space="preserve"> </w:t>
      </w: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C</w:t>
      </w:r>
      <w:r w:rsidR="003A221B" w:rsidRPr="009B024D">
        <w:rPr>
          <w:spacing w:val="0"/>
          <w:kern w:val="2"/>
        </w:rPr>
        <w:t>orporate</w:t>
      </w:r>
      <w:r w:rsidR="00925225" w:rsidRPr="009B024D">
        <w:rPr>
          <w:spacing w:val="0"/>
          <w:kern w:val="2"/>
        </w:rPr>
        <w:t xml:space="preserve"> financial consulting or advising</w:t>
      </w:r>
      <w:r w:rsidR="008B704F" w:rsidRPr="009B024D">
        <w:rPr>
          <w:spacing w:val="0"/>
          <w:kern w:val="2"/>
        </w:rPr>
        <w:t>;</w:t>
      </w:r>
      <w:r w:rsidR="00852640" w:rsidRPr="009B024D">
        <w:rPr>
          <w:color w:val="000000"/>
          <w:spacing w:val="0"/>
          <w:kern w:val="2"/>
        </w:rPr>
        <w:t xml:space="preserve"> </w:t>
      </w: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E</w:t>
      </w:r>
      <w:r w:rsidR="00D8420D" w:rsidRPr="009B024D">
        <w:rPr>
          <w:spacing w:val="0"/>
          <w:kern w:val="2"/>
        </w:rPr>
        <w:t>mployee compensation and/or personnel decision</w:t>
      </w:r>
      <w:r w:rsidR="006E24F5" w:rsidRPr="009B024D">
        <w:rPr>
          <w:spacing w:val="0"/>
          <w:kern w:val="2"/>
        </w:rPr>
        <w:t>-</w:t>
      </w:r>
      <w:r w:rsidR="00D8420D" w:rsidRPr="009B024D">
        <w:rPr>
          <w:spacing w:val="0"/>
          <w:kern w:val="2"/>
        </w:rPr>
        <w:t>making</w:t>
      </w:r>
      <w:r w:rsidR="008B704F" w:rsidRPr="009B024D">
        <w:rPr>
          <w:spacing w:val="0"/>
          <w:kern w:val="2"/>
        </w:rPr>
        <w:t>;</w:t>
      </w:r>
      <w:r w:rsidR="00607CAB" w:rsidRPr="009B024D">
        <w:rPr>
          <w:spacing w:val="0"/>
          <w:kern w:val="2"/>
        </w:rPr>
        <w:t xml:space="preserve"> and</w:t>
      </w:r>
    </w:p>
    <w:p w:rsidR="00852640" w:rsidRPr="009B024D" w:rsidRDefault="007E0526" w:rsidP="00852640">
      <w:pPr>
        <w:numPr>
          <w:ilvl w:val="0"/>
          <w:numId w:val="6"/>
        </w:numPr>
        <w:autoSpaceDE w:val="0"/>
        <w:autoSpaceDN w:val="0"/>
        <w:adjustRightInd w:val="0"/>
        <w:ind w:left="1080"/>
        <w:jc w:val="both"/>
        <w:rPr>
          <w:color w:val="000000"/>
          <w:spacing w:val="0"/>
          <w:kern w:val="2"/>
        </w:rPr>
      </w:pPr>
      <w:r w:rsidRPr="009B024D">
        <w:rPr>
          <w:spacing w:val="0"/>
          <w:kern w:val="2"/>
        </w:rPr>
        <w:t>B</w:t>
      </w:r>
      <w:r w:rsidR="00607CAB" w:rsidRPr="009B024D">
        <w:rPr>
          <w:spacing w:val="0"/>
          <w:kern w:val="2"/>
        </w:rPr>
        <w:t>usiness risk consulting.</w:t>
      </w:r>
      <w:r w:rsidR="00852640" w:rsidRPr="009B024D">
        <w:rPr>
          <w:color w:val="000000"/>
          <w:spacing w:val="0"/>
          <w:kern w:val="2"/>
        </w:rPr>
        <w:t xml:space="preserve"> </w:t>
      </w:r>
    </w:p>
    <w:p w:rsidR="001A7E9E" w:rsidRPr="009B024D" w:rsidRDefault="001A7E9E" w:rsidP="00852640">
      <w:pPr>
        <w:tabs>
          <w:tab w:val="left" w:pos="-1440"/>
        </w:tabs>
        <w:ind w:left="720"/>
        <w:jc w:val="both"/>
        <w:rPr>
          <w:spacing w:val="0"/>
          <w:kern w:val="2"/>
        </w:rPr>
      </w:pPr>
    </w:p>
    <w:p w:rsidR="001A7E9E" w:rsidRPr="009B024D" w:rsidRDefault="001A7E9E" w:rsidP="009D75E6">
      <w:pPr>
        <w:jc w:val="both"/>
        <w:rPr>
          <w:spacing w:val="0"/>
          <w:kern w:val="2"/>
        </w:rPr>
      </w:pPr>
      <w:r w:rsidRPr="009B024D">
        <w:rPr>
          <w:spacing w:val="0"/>
          <w:kern w:val="2"/>
        </w:rPr>
        <w:t>For additional information on pr</w:t>
      </w:r>
      <w:r w:rsidR="00680BF6" w:rsidRPr="009B024D">
        <w:rPr>
          <w:spacing w:val="0"/>
          <w:kern w:val="2"/>
        </w:rPr>
        <w:t xml:space="preserve">ocuring the services of the </w:t>
      </w:r>
      <w:r w:rsidRPr="009B024D">
        <w:rPr>
          <w:spacing w:val="0"/>
          <w:kern w:val="2"/>
        </w:rPr>
        <w:t>audit firm to pr</w:t>
      </w:r>
      <w:r w:rsidR="0097452B" w:rsidRPr="009B024D">
        <w:rPr>
          <w:spacing w:val="0"/>
          <w:kern w:val="2"/>
        </w:rPr>
        <w:t>ovide non-audit services,</w:t>
      </w:r>
      <w:r w:rsidRPr="009B024D">
        <w:rPr>
          <w:spacing w:val="0"/>
          <w:kern w:val="2"/>
        </w:rPr>
        <w:t xml:space="preserve"> </w:t>
      </w:r>
      <w:r w:rsidRPr="009B024D">
        <w:rPr>
          <w:spacing w:val="0"/>
          <w:kern w:val="2"/>
          <w:u w:val="single"/>
        </w:rPr>
        <w:t>see</w:t>
      </w:r>
      <w:r w:rsidRPr="009B024D">
        <w:rPr>
          <w:spacing w:val="0"/>
          <w:kern w:val="2"/>
        </w:rPr>
        <w:t xml:space="preserve"> </w:t>
      </w:r>
      <w:hyperlink r:id="rId9" w:history="1">
        <w:r w:rsidR="00680BF6" w:rsidRPr="009B024D">
          <w:rPr>
            <w:rStyle w:val="Hyperlink"/>
            <w:bCs w:val="0"/>
            <w:spacing w:val="0"/>
            <w:kern w:val="2"/>
          </w:rPr>
          <w:t>Procuring non-a</w:t>
        </w:r>
        <w:r w:rsidR="00AA1D48" w:rsidRPr="009B024D">
          <w:rPr>
            <w:rStyle w:val="Hyperlink"/>
            <w:bCs w:val="0"/>
            <w:spacing w:val="0"/>
            <w:kern w:val="2"/>
          </w:rPr>
          <w:t>ud</w:t>
        </w:r>
        <w:r w:rsidR="00680BF6" w:rsidRPr="009B024D">
          <w:rPr>
            <w:rStyle w:val="Hyperlink"/>
            <w:bCs w:val="0"/>
            <w:spacing w:val="0"/>
            <w:kern w:val="2"/>
          </w:rPr>
          <w:t>it services from the audit firm: Introductory guidance</w:t>
        </w:r>
      </w:hyperlink>
      <w:r w:rsidR="001F239D" w:rsidRPr="009B024D">
        <w:rPr>
          <w:bCs w:val="0"/>
          <w:spacing w:val="0"/>
          <w:kern w:val="2"/>
        </w:rPr>
        <w:t xml:space="preserve">. </w:t>
      </w:r>
    </w:p>
    <w:p w:rsidR="001A7E9E" w:rsidRPr="009B024D" w:rsidRDefault="001A7E9E" w:rsidP="009D75E6">
      <w:pPr>
        <w:jc w:val="both"/>
        <w:rPr>
          <w:spacing w:val="0"/>
          <w:kern w:val="2"/>
        </w:rPr>
      </w:pPr>
    </w:p>
    <w:p w:rsidR="001A7E9E" w:rsidRPr="009B024D" w:rsidRDefault="001A7E9E" w:rsidP="009D75E6">
      <w:pPr>
        <w:jc w:val="both"/>
        <w:rPr>
          <w:spacing w:val="0"/>
          <w:kern w:val="2"/>
        </w:rPr>
      </w:pPr>
    </w:p>
    <w:p w:rsidR="0000738F" w:rsidRPr="009B024D" w:rsidRDefault="0000738F" w:rsidP="009D75E6">
      <w:pPr>
        <w:jc w:val="both"/>
        <w:rPr>
          <w:spacing w:val="0"/>
          <w:kern w:val="2"/>
        </w:rPr>
      </w:pPr>
    </w:p>
    <w:sectPr w:rsidR="0000738F" w:rsidRPr="009B024D" w:rsidSect="00103015">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9C" w:rsidRDefault="00470A9C" w:rsidP="00470A9C">
      <w:r>
        <w:separator/>
      </w:r>
    </w:p>
  </w:endnote>
  <w:endnote w:type="continuationSeparator" w:id="0">
    <w:p w:rsidR="00470A9C" w:rsidRDefault="00470A9C" w:rsidP="0047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9C" w:rsidRPr="00470A9C" w:rsidRDefault="00470A9C" w:rsidP="00470A9C">
    <w:pPr>
      <w:pBdr>
        <w:bottom w:val="single" w:sz="12" w:space="0" w:color="auto"/>
      </w:pBdr>
      <w:rPr>
        <w:rFonts w:eastAsiaTheme="minorHAnsi" w:cstheme="minorBidi"/>
        <w:bCs w:val="0"/>
        <w:spacing w:val="0"/>
        <w:sz w:val="20"/>
        <w:szCs w:val="20"/>
      </w:rPr>
    </w:pPr>
  </w:p>
  <w:p w:rsidR="00470A9C" w:rsidRPr="00470A9C" w:rsidRDefault="00470A9C" w:rsidP="00470A9C">
    <w:pPr>
      <w:tabs>
        <w:tab w:val="left" w:pos="2340"/>
      </w:tabs>
      <w:jc w:val="center"/>
      <w:rPr>
        <w:rFonts w:eastAsiaTheme="minorHAnsi" w:cstheme="minorBidi"/>
        <w:bCs w:val="0"/>
        <w:spacing w:val="0"/>
        <w:sz w:val="20"/>
        <w:szCs w:val="20"/>
      </w:rPr>
    </w:pPr>
  </w:p>
  <w:p w:rsidR="00470A9C" w:rsidRPr="00470A9C" w:rsidRDefault="00742038" w:rsidP="00470A9C">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 xml:space="preserve">The </w:t>
    </w:r>
    <w:r w:rsidR="005D54AD">
      <w:rPr>
        <w:rFonts w:eastAsiaTheme="minorHAnsi" w:cstheme="minorBidi"/>
        <w:bCs w:val="0"/>
        <w:spacing w:val="0"/>
        <w:sz w:val="20"/>
        <w:szCs w:val="20"/>
      </w:rPr>
      <w:t xml:space="preserve">Corporate </w:t>
    </w:r>
    <w:r w:rsidR="00470A9C" w:rsidRPr="00470A9C">
      <w:rPr>
        <w:rFonts w:eastAsiaTheme="minorHAnsi" w:cstheme="minorBidi"/>
        <w:bCs w:val="0"/>
        <w:spacing w:val="0"/>
        <w:sz w:val="20"/>
        <w:szCs w:val="20"/>
      </w:rPr>
      <w:t>Compliance Toolkit</w:t>
    </w:r>
    <w:r w:rsidR="0019086C">
      <w:rPr>
        <w:rFonts w:eastAsiaTheme="minorHAnsi" w:cstheme="minorBidi"/>
        <w:bCs w:val="0"/>
        <w:spacing w:val="0"/>
        <w:sz w:val="20"/>
        <w:szCs w:val="20"/>
      </w:rPr>
      <w:t xml:space="preserve"> for PCA</w:t>
    </w:r>
    <w:r w:rsidR="005D54AD">
      <w:rPr>
        <w:rFonts w:eastAsiaTheme="minorHAnsi" w:cstheme="minorBidi"/>
        <w:bCs w:val="0"/>
        <w:spacing w:val="0"/>
        <w:sz w:val="20"/>
        <w:szCs w:val="20"/>
      </w:rPr>
      <w:t>s</w:t>
    </w:r>
    <w:r w:rsidR="0019086C">
      <w:rPr>
        <w:rFonts w:eastAsiaTheme="minorHAnsi" w:cstheme="minorBidi"/>
        <w:bCs w:val="0"/>
        <w:spacing w:val="0"/>
        <w:sz w:val="20"/>
        <w:szCs w:val="20"/>
      </w:rPr>
      <w:t>-HCCNs</w:t>
    </w:r>
  </w:p>
  <w:p w:rsidR="00470A9C" w:rsidRPr="00470A9C" w:rsidRDefault="005D54AD" w:rsidP="00470A9C">
    <w:pPr>
      <w:tabs>
        <w:tab w:val="left" w:pos="2340"/>
      </w:tabs>
      <w:jc w:val="center"/>
      <w:rPr>
        <w:rFonts w:eastAsiaTheme="minorHAnsi" w:cstheme="minorBidi"/>
        <w:bCs w:val="0"/>
        <w:spacing w:val="0"/>
        <w:sz w:val="20"/>
        <w:szCs w:val="20"/>
        <w:lang w:val="de-DE"/>
      </w:rPr>
    </w:pPr>
    <w:r>
      <w:rPr>
        <w:rFonts w:eastAsiaTheme="minorHAnsi" w:cstheme="minorBidi"/>
        <w:bCs w:val="0"/>
        <w:spacing w:val="0"/>
        <w:sz w:val="20"/>
        <w:szCs w:val="20"/>
        <w:lang w:val="de-DE"/>
      </w:rPr>
      <w:t>© 2015</w:t>
    </w:r>
    <w:r w:rsidR="00470A9C" w:rsidRPr="00470A9C">
      <w:rPr>
        <w:rFonts w:eastAsiaTheme="minorHAnsi" w:cstheme="minorBidi"/>
        <w:bCs w:val="0"/>
        <w:spacing w:val="0"/>
        <w:sz w:val="20"/>
        <w:szCs w:val="20"/>
        <w:lang w:val="de-DE"/>
      </w:rPr>
      <w:t xml:space="preserve"> </w:t>
    </w:r>
    <w:r w:rsidR="00470A9C" w:rsidRPr="00470A9C">
      <w:rPr>
        <w:rFonts w:eastAsiaTheme="minorHAnsi" w:cstheme="minorBidi"/>
        <w:bCs w:val="0"/>
        <w:spacing w:val="0"/>
        <w:sz w:val="20"/>
        <w:szCs w:val="20"/>
      </w:rPr>
      <w:t>National Association of Community Health Centers, Inc.</w:t>
    </w:r>
  </w:p>
  <w:p w:rsidR="00470A9C" w:rsidRPr="00470A9C" w:rsidRDefault="00470A9C" w:rsidP="00470A9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470A9C" w:rsidRPr="00470A9C" w:rsidRDefault="00470A9C" w:rsidP="00470A9C">
    <w:pPr>
      <w:tabs>
        <w:tab w:val="left" w:pos="2340"/>
      </w:tabs>
      <w:jc w:val="center"/>
      <w:rPr>
        <w:rFonts w:eastAsiaTheme="minorHAnsi" w:cstheme="minorBidi"/>
        <w:bCs w:val="0"/>
        <w:spacing w:val="0"/>
        <w:sz w:val="20"/>
        <w:szCs w:val="20"/>
      </w:rPr>
    </w:pPr>
  </w:p>
  <w:p w:rsidR="00470A9C" w:rsidRPr="00470A9C" w:rsidRDefault="00470A9C" w:rsidP="00470A9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CA5D35">
      <w:rPr>
        <w:rFonts w:eastAsiaTheme="minorHAnsi" w:cstheme="minorBidi"/>
        <w:bCs w:val="0"/>
        <w:noProof/>
        <w:spacing w:val="0"/>
        <w:sz w:val="20"/>
        <w:szCs w:val="20"/>
      </w:rPr>
      <w:t>1</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9C" w:rsidRDefault="00470A9C" w:rsidP="00470A9C">
      <w:r>
        <w:separator/>
      </w:r>
    </w:p>
  </w:footnote>
  <w:footnote w:type="continuationSeparator" w:id="0">
    <w:p w:rsidR="00470A9C" w:rsidRDefault="00470A9C" w:rsidP="00470A9C">
      <w:r>
        <w:continuationSeparator/>
      </w:r>
    </w:p>
  </w:footnote>
  <w:footnote w:id="1">
    <w:p w:rsidR="008917B9" w:rsidRPr="004D2C46" w:rsidRDefault="008917B9" w:rsidP="00C3725B">
      <w:pPr>
        <w:pStyle w:val="FootnoteText"/>
        <w:tabs>
          <w:tab w:val="left" w:pos="360"/>
        </w:tabs>
        <w:ind w:left="360" w:hanging="360"/>
        <w:rPr>
          <w:kern w:val="2"/>
        </w:rPr>
      </w:pPr>
      <w:r w:rsidRPr="00AE7EA4">
        <w:rPr>
          <w:rStyle w:val="FootnoteReference"/>
        </w:rPr>
        <w:footnoteRef/>
      </w:r>
      <w:r w:rsidRPr="00AE7EA4">
        <w:t xml:space="preserve"> </w:t>
      </w:r>
      <w:r w:rsidR="00C3725B">
        <w:tab/>
      </w:r>
      <w:r w:rsidR="00AE7EA4" w:rsidRPr="00103015">
        <w:rPr>
          <w:spacing w:val="0"/>
          <w:kern w:val="2"/>
          <w:u w:val="single"/>
        </w:rPr>
        <w:t>See</w:t>
      </w:r>
      <w:r w:rsidR="00AE7EA4" w:rsidRPr="00103015">
        <w:rPr>
          <w:spacing w:val="0"/>
          <w:kern w:val="2"/>
        </w:rPr>
        <w:t xml:space="preserve"> </w:t>
      </w:r>
      <w:hyperlink r:id="rId1" w:history="1">
        <w:r w:rsidR="00AE7EA4" w:rsidRPr="00103015">
          <w:rPr>
            <w:rStyle w:val="Hyperlink"/>
            <w:spacing w:val="0"/>
            <w:kern w:val="2"/>
          </w:rPr>
          <w:t>OMB Circular A-133 Compliance Supplement – June 2015</w:t>
        </w:r>
      </w:hyperlink>
      <w:r w:rsidR="00802F54" w:rsidRPr="00103015">
        <w:rPr>
          <w:rStyle w:val="Hyperlink"/>
          <w:color w:val="auto"/>
          <w:spacing w:val="0"/>
          <w:kern w:val="2"/>
          <w:u w:val="none"/>
        </w:rPr>
        <w:t xml:space="preserve">. </w:t>
      </w:r>
      <w:r w:rsidRPr="00103015">
        <w:rPr>
          <w:spacing w:val="0"/>
          <w:kern w:val="2"/>
        </w:rPr>
        <w:t xml:space="preserve">Although the OMB Uniform Guidance codified at 45 C.F.R. Part 75 </w:t>
      </w:r>
      <w:r w:rsidR="00543EAE" w:rsidRPr="00103015">
        <w:rPr>
          <w:spacing w:val="0"/>
          <w:kern w:val="2"/>
        </w:rPr>
        <w:t>supersedes OMB Circular A-133 for periods after December 26, 2014, OMB continues to refer</w:t>
      </w:r>
      <w:r w:rsidR="00AD14ED" w:rsidRPr="00103015">
        <w:rPr>
          <w:spacing w:val="0"/>
          <w:kern w:val="2"/>
        </w:rPr>
        <w:t xml:space="preserve"> to</w:t>
      </w:r>
      <w:r w:rsidR="00543EAE" w:rsidRPr="00103015">
        <w:rPr>
          <w:spacing w:val="0"/>
          <w:kern w:val="2"/>
        </w:rPr>
        <w:t xml:space="preserve"> its annual compliance supplements as</w:t>
      </w:r>
      <w:r w:rsidR="00367D07" w:rsidRPr="00103015">
        <w:rPr>
          <w:spacing w:val="0"/>
          <w:kern w:val="2"/>
        </w:rPr>
        <w:t xml:space="preserve"> the “OMB Circular A-133 Compliance Supplement.”</w:t>
      </w:r>
    </w:p>
  </w:footnote>
  <w:footnote w:id="2">
    <w:p w:rsidR="00641A95" w:rsidRPr="004D2C46" w:rsidRDefault="00641A95" w:rsidP="00852640">
      <w:pPr>
        <w:ind w:left="360" w:hanging="360"/>
        <w:rPr>
          <w:spacing w:val="0"/>
          <w:kern w:val="2"/>
          <w:sz w:val="20"/>
          <w:szCs w:val="20"/>
        </w:rPr>
      </w:pPr>
      <w:r>
        <w:rPr>
          <w:rStyle w:val="FootnoteReference"/>
        </w:rPr>
        <w:footnoteRef/>
      </w:r>
      <w:r>
        <w:t xml:space="preserve"> </w:t>
      </w:r>
      <w:r w:rsidR="00852640">
        <w:tab/>
      </w:r>
      <w:r w:rsidRPr="004D2C46">
        <w:rPr>
          <w:color w:val="000000"/>
          <w:spacing w:val="0"/>
          <w:kern w:val="2"/>
          <w:sz w:val="20"/>
          <w:szCs w:val="20"/>
        </w:rPr>
        <w:t>The Authors of these materials include attorneys at the law firm of Feldesman Tucker Leifer Fidell LLP. The advice and recommendations consist of general guidance based on federal law and regulati</w:t>
      </w:r>
      <w:r w:rsidR="00742038" w:rsidRPr="004D2C46">
        <w:rPr>
          <w:color w:val="000000"/>
          <w:spacing w:val="0"/>
          <w:kern w:val="2"/>
          <w:sz w:val="20"/>
          <w:szCs w:val="20"/>
        </w:rPr>
        <w:t>ons</w:t>
      </w:r>
      <w:r w:rsidRPr="004D2C46">
        <w:rPr>
          <w:color w:val="000000"/>
          <w:spacing w:val="0"/>
          <w:kern w:val="2"/>
          <w:sz w:val="20"/>
          <w:szCs w:val="20"/>
        </w:rPr>
        <w:t xml:space="preserve"> and do not necessarily apply to all </w:t>
      </w:r>
      <w:r w:rsidR="00B27474">
        <w:rPr>
          <w:color w:val="000000"/>
          <w:spacing w:val="0"/>
          <w:kern w:val="2"/>
          <w:sz w:val="20"/>
          <w:szCs w:val="20"/>
        </w:rPr>
        <w:t>PCAs-HCCNs</w:t>
      </w:r>
      <w:r w:rsidRPr="004D2C46">
        <w:rPr>
          <w:color w:val="000000"/>
          <w:spacing w:val="0"/>
          <w:kern w:val="2"/>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9C" w:rsidRPr="00103015" w:rsidRDefault="00470A9C" w:rsidP="00470A9C">
    <w:pPr>
      <w:jc w:val="center"/>
      <w:rPr>
        <w:spacing w:val="0"/>
        <w:sz w:val="20"/>
      </w:rPr>
    </w:pPr>
    <w:r w:rsidRPr="00103015">
      <w:rPr>
        <w:spacing w:val="0"/>
        <w:sz w:val="20"/>
      </w:rPr>
      <w:t xml:space="preserve">Volume II: </w:t>
    </w:r>
    <w:r w:rsidR="00B43ACC" w:rsidRPr="00103015">
      <w:rPr>
        <w:spacing w:val="0"/>
        <w:sz w:val="20"/>
      </w:rPr>
      <w:t>PCA-HCCN</w:t>
    </w:r>
    <w:r w:rsidRPr="00103015">
      <w:rPr>
        <w:spacing w:val="0"/>
        <w:sz w:val="20"/>
      </w:rPr>
      <w:t xml:space="preserve"> Risk Areas</w:t>
    </w:r>
  </w:p>
  <w:p w:rsidR="00470A9C" w:rsidRPr="00103015" w:rsidRDefault="00470A9C" w:rsidP="00470A9C">
    <w:pPr>
      <w:pBdr>
        <w:bottom w:val="single" w:sz="12" w:space="0" w:color="auto"/>
      </w:pBdr>
      <w:jc w:val="center"/>
      <w:rPr>
        <w:spacing w:val="0"/>
        <w:sz w:val="20"/>
      </w:rPr>
    </w:pPr>
    <w:r w:rsidRPr="00103015">
      <w:rPr>
        <w:spacing w:val="0"/>
        <w:sz w:val="20"/>
      </w:rPr>
      <w:t>Federal Grants Management</w:t>
    </w:r>
  </w:p>
  <w:p w:rsidR="00470A9C" w:rsidRPr="00F354EE" w:rsidRDefault="00470A9C" w:rsidP="00470A9C">
    <w:pPr>
      <w:pBdr>
        <w:bottom w:val="single" w:sz="12" w:space="0" w:color="auto"/>
      </w:pBdr>
      <w:jc w:val="center"/>
      <w:rPr>
        <w:sz w:val="20"/>
      </w:rPr>
    </w:pPr>
  </w:p>
  <w:p w:rsidR="00470A9C" w:rsidRDefault="00470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9EE"/>
    <w:multiLevelType w:val="hybridMultilevel"/>
    <w:tmpl w:val="61321E80"/>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8F1FAF"/>
    <w:multiLevelType w:val="hybridMultilevel"/>
    <w:tmpl w:val="65D297A0"/>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376CE"/>
    <w:multiLevelType w:val="hybridMultilevel"/>
    <w:tmpl w:val="A852D07A"/>
    <w:lvl w:ilvl="0" w:tplc="76122172">
      <w:start w:val="1"/>
      <w:numFmt w:val="upperLetter"/>
      <w:lvlText w:val="%1."/>
      <w:lvlJc w:val="left"/>
      <w:pPr>
        <w:tabs>
          <w:tab w:val="num" w:pos="1440"/>
        </w:tabs>
        <w:ind w:left="1440" w:hanging="720"/>
      </w:pPr>
      <w:rPr>
        <w:rFonts w:hint="default"/>
        <w:b/>
        <w:i w:val="0"/>
      </w:rPr>
    </w:lvl>
    <w:lvl w:ilvl="1" w:tplc="0409000B">
      <w:start w:val="1"/>
      <w:numFmt w:val="bullet"/>
      <w:lvlText w:val=""/>
      <w:lvlJc w:val="left"/>
      <w:pPr>
        <w:tabs>
          <w:tab w:val="num" w:pos="1800"/>
        </w:tabs>
        <w:ind w:left="1800" w:hanging="360"/>
      </w:pPr>
      <w:rPr>
        <w:rFonts w:ascii="Wingdings" w:hAnsi="Wingdings"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59314A1"/>
    <w:multiLevelType w:val="hybridMultilevel"/>
    <w:tmpl w:val="44AC0672"/>
    <w:lvl w:ilvl="0" w:tplc="9C9483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231689"/>
    <w:multiLevelType w:val="hybridMultilevel"/>
    <w:tmpl w:val="061CA60A"/>
    <w:lvl w:ilvl="0" w:tplc="A306C4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E73AD"/>
    <w:multiLevelType w:val="hybridMultilevel"/>
    <w:tmpl w:val="F88CB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E"/>
    <w:rsid w:val="0000738F"/>
    <w:rsid w:val="00031454"/>
    <w:rsid w:val="000728EC"/>
    <w:rsid w:val="000867C1"/>
    <w:rsid w:val="000B0812"/>
    <w:rsid w:val="000B3D7F"/>
    <w:rsid w:val="000B4285"/>
    <w:rsid w:val="000E2CCC"/>
    <w:rsid w:val="000E6BFA"/>
    <w:rsid w:val="00103015"/>
    <w:rsid w:val="00115501"/>
    <w:rsid w:val="00123581"/>
    <w:rsid w:val="00166A90"/>
    <w:rsid w:val="0018482E"/>
    <w:rsid w:val="00186080"/>
    <w:rsid w:val="0019086C"/>
    <w:rsid w:val="001A7E9E"/>
    <w:rsid w:val="001C2A2D"/>
    <w:rsid w:val="001C5142"/>
    <w:rsid w:val="001F239D"/>
    <w:rsid w:val="00235D7B"/>
    <w:rsid w:val="002479C0"/>
    <w:rsid w:val="002A0224"/>
    <w:rsid w:val="002C2E3E"/>
    <w:rsid w:val="00320BD2"/>
    <w:rsid w:val="00324D3D"/>
    <w:rsid w:val="003451C1"/>
    <w:rsid w:val="0036018B"/>
    <w:rsid w:val="00367D07"/>
    <w:rsid w:val="00376FFF"/>
    <w:rsid w:val="003A221B"/>
    <w:rsid w:val="00402749"/>
    <w:rsid w:val="00411466"/>
    <w:rsid w:val="00425550"/>
    <w:rsid w:val="00450EEC"/>
    <w:rsid w:val="00464528"/>
    <w:rsid w:val="00470A9C"/>
    <w:rsid w:val="004D2C46"/>
    <w:rsid w:val="004D7576"/>
    <w:rsid w:val="005275A1"/>
    <w:rsid w:val="00543EAE"/>
    <w:rsid w:val="005C0006"/>
    <w:rsid w:val="005D54AD"/>
    <w:rsid w:val="005F1106"/>
    <w:rsid w:val="00607CAB"/>
    <w:rsid w:val="00641A95"/>
    <w:rsid w:val="00671DFB"/>
    <w:rsid w:val="00680BF6"/>
    <w:rsid w:val="006935FC"/>
    <w:rsid w:val="006947CC"/>
    <w:rsid w:val="00696017"/>
    <w:rsid w:val="006B17FF"/>
    <w:rsid w:val="006D7E20"/>
    <w:rsid w:val="006E24F5"/>
    <w:rsid w:val="0072299B"/>
    <w:rsid w:val="00742038"/>
    <w:rsid w:val="00760AFE"/>
    <w:rsid w:val="007625CD"/>
    <w:rsid w:val="007626D0"/>
    <w:rsid w:val="007666F6"/>
    <w:rsid w:val="00781F47"/>
    <w:rsid w:val="007951EB"/>
    <w:rsid w:val="007C71CE"/>
    <w:rsid w:val="007E0526"/>
    <w:rsid w:val="007F6206"/>
    <w:rsid w:val="00802F54"/>
    <w:rsid w:val="008053DC"/>
    <w:rsid w:val="00852640"/>
    <w:rsid w:val="00856407"/>
    <w:rsid w:val="00860595"/>
    <w:rsid w:val="00871823"/>
    <w:rsid w:val="008917B9"/>
    <w:rsid w:val="008A7438"/>
    <w:rsid w:val="008B704F"/>
    <w:rsid w:val="008C1646"/>
    <w:rsid w:val="009034B3"/>
    <w:rsid w:val="00914D44"/>
    <w:rsid w:val="00920444"/>
    <w:rsid w:val="00925225"/>
    <w:rsid w:val="00947EDD"/>
    <w:rsid w:val="00957401"/>
    <w:rsid w:val="0097452B"/>
    <w:rsid w:val="009A1492"/>
    <w:rsid w:val="009B024D"/>
    <w:rsid w:val="009D42D5"/>
    <w:rsid w:val="009D75E6"/>
    <w:rsid w:val="009E7474"/>
    <w:rsid w:val="00A458B4"/>
    <w:rsid w:val="00A7461D"/>
    <w:rsid w:val="00A80F93"/>
    <w:rsid w:val="00A96198"/>
    <w:rsid w:val="00AA1D48"/>
    <w:rsid w:val="00AB65A1"/>
    <w:rsid w:val="00AD14ED"/>
    <w:rsid w:val="00AE7EA4"/>
    <w:rsid w:val="00AF6562"/>
    <w:rsid w:val="00B05B76"/>
    <w:rsid w:val="00B207BC"/>
    <w:rsid w:val="00B27474"/>
    <w:rsid w:val="00B43ACC"/>
    <w:rsid w:val="00B51CA4"/>
    <w:rsid w:val="00B6316A"/>
    <w:rsid w:val="00B631B0"/>
    <w:rsid w:val="00BD0B06"/>
    <w:rsid w:val="00BD23E9"/>
    <w:rsid w:val="00C263BE"/>
    <w:rsid w:val="00C3725B"/>
    <w:rsid w:val="00CA54E8"/>
    <w:rsid w:val="00CA5D35"/>
    <w:rsid w:val="00CB7AA4"/>
    <w:rsid w:val="00CC43CA"/>
    <w:rsid w:val="00D02674"/>
    <w:rsid w:val="00D3685F"/>
    <w:rsid w:val="00D503B5"/>
    <w:rsid w:val="00D71500"/>
    <w:rsid w:val="00D8420D"/>
    <w:rsid w:val="00DA5DD4"/>
    <w:rsid w:val="00DB2F67"/>
    <w:rsid w:val="00DD377A"/>
    <w:rsid w:val="00DF0A3B"/>
    <w:rsid w:val="00E1167F"/>
    <w:rsid w:val="00E54E00"/>
    <w:rsid w:val="00EA0ECA"/>
    <w:rsid w:val="00F3497F"/>
    <w:rsid w:val="00FB4A1B"/>
    <w:rsid w:val="00FB6C89"/>
    <w:rsid w:val="00FC57DA"/>
    <w:rsid w:val="00FD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9E"/>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BodyText">
    <w:name w:val="Body Text"/>
    <w:basedOn w:val="Normal"/>
    <w:link w:val="BodyTextChar"/>
    <w:rsid w:val="001A7E9E"/>
    <w:pPr>
      <w:jc w:val="center"/>
    </w:pPr>
    <w:rPr>
      <w:sz w:val="48"/>
    </w:rPr>
  </w:style>
  <w:style w:type="character" w:customStyle="1" w:styleId="BodyTextChar">
    <w:name w:val="Body Text Char"/>
    <w:basedOn w:val="DefaultParagraphFont"/>
    <w:link w:val="BodyText"/>
    <w:rsid w:val="001A7E9E"/>
    <w:rPr>
      <w:rFonts w:ascii="Times New Roman" w:eastAsia="Times New Roman" w:hAnsi="Times New Roman" w:cs="Times New Roman"/>
      <w:bCs/>
      <w:spacing w:val="-3"/>
      <w:sz w:val="48"/>
      <w:szCs w:val="24"/>
    </w:rPr>
  </w:style>
  <w:style w:type="paragraph" w:styleId="ListParagraph">
    <w:name w:val="List Paragraph"/>
    <w:basedOn w:val="Normal"/>
    <w:uiPriority w:val="34"/>
    <w:qFormat/>
    <w:rsid w:val="008B704F"/>
    <w:pPr>
      <w:ind w:left="720"/>
      <w:contextualSpacing/>
    </w:pPr>
  </w:style>
  <w:style w:type="paragraph" w:styleId="Header">
    <w:name w:val="header"/>
    <w:basedOn w:val="Normal"/>
    <w:link w:val="HeaderChar"/>
    <w:uiPriority w:val="99"/>
    <w:unhideWhenUsed/>
    <w:rsid w:val="00470A9C"/>
    <w:pPr>
      <w:tabs>
        <w:tab w:val="center" w:pos="4680"/>
        <w:tab w:val="right" w:pos="9360"/>
      </w:tabs>
    </w:pPr>
  </w:style>
  <w:style w:type="character" w:customStyle="1" w:styleId="HeaderChar">
    <w:name w:val="Header Char"/>
    <w:basedOn w:val="DefaultParagraphFont"/>
    <w:link w:val="Header"/>
    <w:uiPriority w:val="99"/>
    <w:rsid w:val="00470A9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470A9C"/>
    <w:pPr>
      <w:tabs>
        <w:tab w:val="center" w:pos="4680"/>
        <w:tab w:val="right" w:pos="9360"/>
      </w:tabs>
    </w:pPr>
  </w:style>
  <w:style w:type="character" w:customStyle="1" w:styleId="FooterChar">
    <w:name w:val="Footer Char"/>
    <w:basedOn w:val="DefaultParagraphFont"/>
    <w:link w:val="Footer"/>
    <w:uiPriority w:val="99"/>
    <w:rsid w:val="00470A9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470A9C"/>
    <w:rPr>
      <w:rFonts w:ascii="Tahoma" w:hAnsi="Tahoma" w:cs="Tahoma"/>
      <w:sz w:val="16"/>
      <w:szCs w:val="16"/>
    </w:rPr>
  </w:style>
  <w:style w:type="character" w:customStyle="1" w:styleId="BalloonTextChar">
    <w:name w:val="Balloon Text Char"/>
    <w:basedOn w:val="DefaultParagraphFont"/>
    <w:link w:val="BalloonText"/>
    <w:uiPriority w:val="99"/>
    <w:semiHidden/>
    <w:rsid w:val="00470A9C"/>
    <w:rPr>
      <w:rFonts w:ascii="Tahoma" w:eastAsia="Times New Roman" w:hAnsi="Tahoma" w:cs="Tahoma"/>
      <w:bCs/>
      <w:spacing w:val="-3"/>
      <w:sz w:val="16"/>
      <w:szCs w:val="16"/>
    </w:rPr>
  </w:style>
  <w:style w:type="character" w:styleId="Hyperlink">
    <w:name w:val="Hyperlink"/>
    <w:basedOn w:val="DefaultParagraphFont"/>
    <w:uiPriority w:val="99"/>
    <w:unhideWhenUsed/>
    <w:rsid w:val="00AA1D48"/>
    <w:rPr>
      <w:color w:val="0000FF" w:themeColor="hyperlink"/>
      <w:u w:val="single"/>
    </w:rPr>
  </w:style>
  <w:style w:type="paragraph" w:styleId="FootnoteText">
    <w:name w:val="footnote text"/>
    <w:basedOn w:val="Normal"/>
    <w:link w:val="FootnoteTextChar"/>
    <w:uiPriority w:val="99"/>
    <w:semiHidden/>
    <w:unhideWhenUsed/>
    <w:rsid w:val="00641A95"/>
    <w:rPr>
      <w:sz w:val="20"/>
      <w:szCs w:val="20"/>
    </w:rPr>
  </w:style>
  <w:style w:type="character" w:customStyle="1" w:styleId="FootnoteTextChar">
    <w:name w:val="Footnote Text Char"/>
    <w:basedOn w:val="DefaultParagraphFont"/>
    <w:link w:val="FootnoteText"/>
    <w:uiPriority w:val="99"/>
    <w:semiHidden/>
    <w:rsid w:val="00641A9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641A95"/>
    <w:rPr>
      <w:vertAlign w:val="superscript"/>
    </w:rPr>
  </w:style>
  <w:style w:type="character" w:styleId="CommentReference">
    <w:name w:val="annotation reference"/>
    <w:basedOn w:val="DefaultParagraphFont"/>
    <w:uiPriority w:val="99"/>
    <w:semiHidden/>
    <w:unhideWhenUsed/>
    <w:rsid w:val="006E24F5"/>
    <w:rPr>
      <w:sz w:val="16"/>
      <w:szCs w:val="16"/>
    </w:rPr>
  </w:style>
  <w:style w:type="paragraph" w:styleId="CommentText">
    <w:name w:val="annotation text"/>
    <w:basedOn w:val="Normal"/>
    <w:link w:val="CommentTextChar"/>
    <w:uiPriority w:val="99"/>
    <w:semiHidden/>
    <w:unhideWhenUsed/>
    <w:rsid w:val="006E24F5"/>
    <w:rPr>
      <w:sz w:val="20"/>
      <w:szCs w:val="20"/>
    </w:rPr>
  </w:style>
  <w:style w:type="character" w:customStyle="1" w:styleId="CommentTextChar">
    <w:name w:val="Comment Text Char"/>
    <w:basedOn w:val="DefaultParagraphFont"/>
    <w:link w:val="CommentText"/>
    <w:uiPriority w:val="99"/>
    <w:semiHidden/>
    <w:rsid w:val="006E24F5"/>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6E24F5"/>
    <w:rPr>
      <w:b/>
    </w:rPr>
  </w:style>
  <w:style w:type="character" w:customStyle="1" w:styleId="CommentSubjectChar">
    <w:name w:val="Comment Subject Char"/>
    <w:basedOn w:val="CommentTextChar"/>
    <w:link w:val="CommentSubject"/>
    <w:uiPriority w:val="99"/>
    <w:semiHidden/>
    <w:rsid w:val="006E24F5"/>
    <w:rPr>
      <w:rFonts w:ascii="Times New Roman" w:eastAsia="Times New Roman" w:hAnsi="Times New Roman" w:cs="Times New Roman"/>
      <w:b/>
      <w:bCs/>
      <w:spacing w:val="-3"/>
      <w:sz w:val="20"/>
      <w:szCs w:val="20"/>
    </w:rPr>
  </w:style>
  <w:style w:type="character" w:styleId="FollowedHyperlink">
    <w:name w:val="FollowedHyperlink"/>
    <w:basedOn w:val="DefaultParagraphFont"/>
    <w:uiPriority w:val="99"/>
    <w:semiHidden/>
    <w:unhideWhenUsed/>
    <w:rsid w:val="00680B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9E"/>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BodyText">
    <w:name w:val="Body Text"/>
    <w:basedOn w:val="Normal"/>
    <w:link w:val="BodyTextChar"/>
    <w:rsid w:val="001A7E9E"/>
    <w:pPr>
      <w:jc w:val="center"/>
    </w:pPr>
    <w:rPr>
      <w:sz w:val="48"/>
    </w:rPr>
  </w:style>
  <w:style w:type="character" w:customStyle="1" w:styleId="BodyTextChar">
    <w:name w:val="Body Text Char"/>
    <w:basedOn w:val="DefaultParagraphFont"/>
    <w:link w:val="BodyText"/>
    <w:rsid w:val="001A7E9E"/>
    <w:rPr>
      <w:rFonts w:ascii="Times New Roman" w:eastAsia="Times New Roman" w:hAnsi="Times New Roman" w:cs="Times New Roman"/>
      <w:bCs/>
      <w:spacing w:val="-3"/>
      <w:sz w:val="48"/>
      <w:szCs w:val="24"/>
    </w:rPr>
  </w:style>
  <w:style w:type="paragraph" w:styleId="ListParagraph">
    <w:name w:val="List Paragraph"/>
    <w:basedOn w:val="Normal"/>
    <w:uiPriority w:val="34"/>
    <w:qFormat/>
    <w:rsid w:val="008B704F"/>
    <w:pPr>
      <w:ind w:left="720"/>
      <w:contextualSpacing/>
    </w:pPr>
  </w:style>
  <w:style w:type="paragraph" w:styleId="Header">
    <w:name w:val="header"/>
    <w:basedOn w:val="Normal"/>
    <w:link w:val="HeaderChar"/>
    <w:uiPriority w:val="99"/>
    <w:unhideWhenUsed/>
    <w:rsid w:val="00470A9C"/>
    <w:pPr>
      <w:tabs>
        <w:tab w:val="center" w:pos="4680"/>
        <w:tab w:val="right" w:pos="9360"/>
      </w:tabs>
    </w:pPr>
  </w:style>
  <w:style w:type="character" w:customStyle="1" w:styleId="HeaderChar">
    <w:name w:val="Header Char"/>
    <w:basedOn w:val="DefaultParagraphFont"/>
    <w:link w:val="Header"/>
    <w:uiPriority w:val="99"/>
    <w:rsid w:val="00470A9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470A9C"/>
    <w:pPr>
      <w:tabs>
        <w:tab w:val="center" w:pos="4680"/>
        <w:tab w:val="right" w:pos="9360"/>
      </w:tabs>
    </w:pPr>
  </w:style>
  <w:style w:type="character" w:customStyle="1" w:styleId="FooterChar">
    <w:name w:val="Footer Char"/>
    <w:basedOn w:val="DefaultParagraphFont"/>
    <w:link w:val="Footer"/>
    <w:uiPriority w:val="99"/>
    <w:rsid w:val="00470A9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470A9C"/>
    <w:rPr>
      <w:rFonts w:ascii="Tahoma" w:hAnsi="Tahoma" w:cs="Tahoma"/>
      <w:sz w:val="16"/>
      <w:szCs w:val="16"/>
    </w:rPr>
  </w:style>
  <w:style w:type="character" w:customStyle="1" w:styleId="BalloonTextChar">
    <w:name w:val="Balloon Text Char"/>
    <w:basedOn w:val="DefaultParagraphFont"/>
    <w:link w:val="BalloonText"/>
    <w:uiPriority w:val="99"/>
    <w:semiHidden/>
    <w:rsid w:val="00470A9C"/>
    <w:rPr>
      <w:rFonts w:ascii="Tahoma" w:eastAsia="Times New Roman" w:hAnsi="Tahoma" w:cs="Tahoma"/>
      <w:bCs/>
      <w:spacing w:val="-3"/>
      <w:sz w:val="16"/>
      <w:szCs w:val="16"/>
    </w:rPr>
  </w:style>
  <w:style w:type="character" w:styleId="Hyperlink">
    <w:name w:val="Hyperlink"/>
    <w:basedOn w:val="DefaultParagraphFont"/>
    <w:uiPriority w:val="99"/>
    <w:unhideWhenUsed/>
    <w:rsid w:val="00AA1D48"/>
    <w:rPr>
      <w:color w:val="0000FF" w:themeColor="hyperlink"/>
      <w:u w:val="single"/>
    </w:rPr>
  </w:style>
  <w:style w:type="paragraph" w:styleId="FootnoteText">
    <w:name w:val="footnote text"/>
    <w:basedOn w:val="Normal"/>
    <w:link w:val="FootnoteTextChar"/>
    <w:uiPriority w:val="99"/>
    <w:semiHidden/>
    <w:unhideWhenUsed/>
    <w:rsid w:val="00641A95"/>
    <w:rPr>
      <w:sz w:val="20"/>
      <w:szCs w:val="20"/>
    </w:rPr>
  </w:style>
  <w:style w:type="character" w:customStyle="1" w:styleId="FootnoteTextChar">
    <w:name w:val="Footnote Text Char"/>
    <w:basedOn w:val="DefaultParagraphFont"/>
    <w:link w:val="FootnoteText"/>
    <w:uiPriority w:val="99"/>
    <w:semiHidden/>
    <w:rsid w:val="00641A9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641A95"/>
    <w:rPr>
      <w:vertAlign w:val="superscript"/>
    </w:rPr>
  </w:style>
  <w:style w:type="character" w:styleId="CommentReference">
    <w:name w:val="annotation reference"/>
    <w:basedOn w:val="DefaultParagraphFont"/>
    <w:uiPriority w:val="99"/>
    <w:semiHidden/>
    <w:unhideWhenUsed/>
    <w:rsid w:val="006E24F5"/>
    <w:rPr>
      <w:sz w:val="16"/>
      <w:szCs w:val="16"/>
    </w:rPr>
  </w:style>
  <w:style w:type="paragraph" w:styleId="CommentText">
    <w:name w:val="annotation text"/>
    <w:basedOn w:val="Normal"/>
    <w:link w:val="CommentTextChar"/>
    <w:uiPriority w:val="99"/>
    <w:semiHidden/>
    <w:unhideWhenUsed/>
    <w:rsid w:val="006E24F5"/>
    <w:rPr>
      <w:sz w:val="20"/>
      <w:szCs w:val="20"/>
    </w:rPr>
  </w:style>
  <w:style w:type="character" w:customStyle="1" w:styleId="CommentTextChar">
    <w:name w:val="Comment Text Char"/>
    <w:basedOn w:val="DefaultParagraphFont"/>
    <w:link w:val="CommentText"/>
    <w:uiPriority w:val="99"/>
    <w:semiHidden/>
    <w:rsid w:val="006E24F5"/>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6E24F5"/>
    <w:rPr>
      <w:b/>
    </w:rPr>
  </w:style>
  <w:style w:type="character" w:customStyle="1" w:styleId="CommentSubjectChar">
    <w:name w:val="Comment Subject Char"/>
    <w:basedOn w:val="CommentTextChar"/>
    <w:link w:val="CommentSubject"/>
    <w:uiPriority w:val="99"/>
    <w:semiHidden/>
    <w:rsid w:val="006E24F5"/>
    <w:rPr>
      <w:rFonts w:ascii="Times New Roman" w:eastAsia="Times New Roman" w:hAnsi="Times New Roman" w:cs="Times New Roman"/>
      <w:b/>
      <w:bCs/>
      <w:spacing w:val="-3"/>
      <w:sz w:val="20"/>
      <w:szCs w:val="20"/>
    </w:rPr>
  </w:style>
  <w:style w:type="character" w:styleId="FollowedHyperlink">
    <w:name w:val="FollowedHyperlink"/>
    <w:basedOn w:val="DefaultParagraphFont"/>
    <w:uiPriority w:val="99"/>
    <w:semiHidden/>
    <w:unhideWhenUsed/>
    <w:rsid w:val="00680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pca-toolkit/volume-2/8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omb/circulars/a133_compliance_supplement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3C52-1B3F-4FA0-BF80-6CB5D8E4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4</cp:revision>
  <cp:lastPrinted>2015-11-13T20:54:00Z</cp:lastPrinted>
  <dcterms:created xsi:type="dcterms:W3CDTF">2015-11-13T20:51:00Z</dcterms:created>
  <dcterms:modified xsi:type="dcterms:W3CDTF">2015-11-13T20:55:00Z</dcterms:modified>
</cp:coreProperties>
</file>