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8B6" w:rsidRPr="00A576A3" w:rsidRDefault="00B528B6" w:rsidP="00B528B6">
      <w:pPr>
        <w:autoSpaceDE w:val="0"/>
        <w:autoSpaceDN w:val="0"/>
        <w:adjustRightInd w:val="0"/>
        <w:spacing w:before="11"/>
        <w:jc w:val="center"/>
        <w:rPr>
          <w:b/>
          <w:bCs w:val="0"/>
          <w:spacing w:val="0"/>
          <w:kern w:val="2"/>
          <w:sz w:val="32"/>
          <w:szCs w:val="28"/>
        </w:rPr>
      </w:pPr>
      <w:r w:rsidRPr="00A576A3">
        <w:rPr>
          <w:b/>
          <w:spacing w:val="0"/>
          <w:kern w:val="2"/>
          <w:sz w:val="32"/>
          <w:szCs w:val="28"/>
        </w:rPr>
        <w:t>Introductory Guidance: Endorsements</w:t>
      </w:r>
    </w:p>
    <w:p w:rsidR="00B528B6" w:rsidRPr="00A576A3" w:rsidRDefault="00B528B6" w:rsidP="00B528B6">
      <w:pPr>
        <w:pBdr>
          <w:bottom w:val="single" w:sz="12" w:space="1" w:color="auto"/>
        </w:pBdr>
        <w:autoSpaceDE w:val="0"/>
        <w:autoSpaceDN w:val="0"/>
        <w:adjustRightInd w:val="0"/>
        <w:ind w:right="-20"/>
        <w:rPr>
          <w:b/>
          <w:bCs w:val="0"/>
          <w:spacing w:val="0"/>
          <w:kern w:val="2"/>
        </w:rPr>
      </w:pPr>
    </w:p>
    <w:p w:rsidR="002C5D54" w:rsidRPr="00A576A3" w:rsidRDefault="002C5D54" w:rsidP="002C5D54">
      <w:pPr>
        <w:rPr>
          <w:spacing w:val="0"/>
          <w:kern w:val="2"/>
        </w:rPr>
      </w:pPr>
    </w:p>
    <w:p w:rsidR="002C5D54" w:rsidRPr="00A576A3" w:rsidRDefault="00E47C99" w:rsidP="002C5D54">
      <w:pPr>
        <w:rPr>
          <w:b/>
          <w:spacing w:val="0"/>
          <w:kern w:val="2"/>
        </w:rPr>
      </w:pPr>
      <w:r w:rsidRPr="00A576A3">
        <w:rPr>
          <w:b/>
          <w:spacing w:val="0"/>
          <w:kern w:val="2"/>
        </w:rPr>
        <w:t>Background</w:t>
      </w:r>
    </w:p>
    <w:p w:rsidR="00E47C99" w:rsidRPr="00A576A3" w:rsidRDefault="00E47C99" w:rsidP="002C5D54">
      <w:pPr>
        <w:rPr>
          <w:spacing w:val="0"/>
          <w:kern w:val="2"/>
        </w:rPr>
      </w:pPr>
    </w:p>
    <w:p w:rsidR="002C5D54" w:rsidRPr="00A576A3" w:rsidRDefault="002C5D54" w:rsidP="00E50A5B">
      <w:pPr>
        <w:jc w:val="both"/>
        <w:rPr>
          <w:spacing w:val="0"/>
          <w:kern w:val="2"/>
        </w:rPr>
      </w:pPr>
      <w:r w:rsidRPr="00A576A3">
        <w:rPr>
          <w:spacing w:val="0"/>
          <w:kern w:val="2"/>
        </w:rPr>
        <w:t>Often, vendors request that a</w:t>
      </w:r>
      <w:r w:rsidR="00E47C99" w:rsidRPr="00A576A3">
        <w:rPr>
          <w:spacing w:val="0"/>
          <w:kern w:val="2"/>
        </w:rPr>
        <w:t xml:space="preserve"> </w:t>
      </w:r>
      <w:proofErr w:type="spellStart"/>
      <w:r w:rsidR="00970E9C" w:rsidRPr="00A576A3">
        <w:rPr>
          <w:spacing w:val="0"/>
          <w:kern w:val="2"/>
        </w:rPr>
        <w:t>PCA</w:t>
      </w:r>
      <w:r w:rsidR="00E47C99" w:rsidRPr="00A576A3">
        <w:rPr>
          <w:spacing w:val="0"/>
          <w:kern w:val="2"/>
        </w:rPr>
        <w:t>-HCCN</w:t>
      </w:r>
      <w:proofErr w:type="spellEnd"/>
      <w:r w:rsidR="00970E9C" w:rsidRPr="00A576A3">
        <w:rPr>
          <w:spacing w:val="0"/>
          <w:kern w:val="2"/>
        </w:rPr>
        <w:t xml:space="preserve"> </w:t>
      </w:r>
      <w:proofErr w:type="gramStart"/>
      <w:r w:rsidR="00970E9C" w:rsidRPr="00A576A3">
        <w:rPr>
          <w:spacing w:val="0"/>
          <w:kern w:val="2"/>
        </w:rPr>
        <w:t>promote</w:t>
      </w:r>
      <w:proofErr w:type="gramEnd"/>
      <w:r w:rsidR="00AF3C41" w:rsidRPr="00A576A3">
        <w:rPr>
          <w:spacing w:val="0"/>
          <w:kern w:val="2"/>
        </w:rPr>
        <w:t xml:space="preserve"> </w:t>
      </w:r>
      <w:r w:rsidRPr="00A576A3">
        <w:rPr>
          <w:spacing w:val="0"/>
          <w:kern w:val="2"/>
        </w:rPr>
        <w:t>the goods a</w:t>
      </w:r>
      <w:r w:rsidR="00606A74" w:rsidRPr="00A576A3">
        <w:rPr>
          <w:spacing w:val="0"/>
          <w:kern w:val="2"/>
        </w:rPr>
        <w:t xml:space="preserve">nd services it offers to the </w:t>
      </w:r>
      <w:proofErr w:type="spellStart"/>
      <w:r w:rsidRPr="00A576A3">
        <w:rPr>
          <w:spacing w:val="0"/>
          <w:kern w:val="2"/>
        </w:rPr>
        <w:t>PCA</w:t>
      </w:r>
      <w:r w:rsidR="00606A74" w:rsidRPr="00A576A3">
        <w:rPr>
          <w:spacing w:val="0"/>
          <w:kern w:val="2"/>
        </w:rPr>
        <w:t>-HCCN</w:t>
      </w:r>
      <w:r w:rsidRPr="00A576A3">
        <w:rPr>
          <w:spacing w:val="0"/>
          <w:kern w:val="2"/>
        </w:rPr>
        <w:t>’s</w:t>
      </w:r>
      <w:proofErr w:type="spellEnd"/>
      <w:r w:rsidRPr="00A576A3">
        <w:rPr>
          <w:spacing w:val="0"/>
          <w:kern w:val="2"/>
        </w:rPr>
        <w:t xml:space="preserve"> health center members by en</w:t>
      </w:r>
      <w:r w:rsidR="00606A74" w:rsidRPr="00A576A3">
        <w:rPr>
          <w:spacing w:val="0"/>
          <w:kern w:val="2"/>
        </w:rPr>
        <w:t>dorsing such goods or services.</w:t>
      </w:r>
      <w:r w:rsidRPr="00A576A3">
        <w:rPr>
          <w:spacing w:val="0"/>
          <w:kern w:val="2"/>
        </w:rPr>
        <w:t xml:space="preserve"> Examples of endorsement activities may include, but are</w:t>
      </w:r>
      <w:r w:rsidR="00606A74" w:rsidRPr="00A576A3">
        <w:rPr>
          <w:spacing w:val="0"/>
          <w:kern w:val="2"/>
        </w:rPr>
        <w:t xml:space="preserve"> not limited to, lending the </w:t>
      </w:r>
      <w:proofErr w:type="spellStart"/>
      <w:r w:rsidRPr="00A576A3">
        <w:rPr>
          <w:spacing w:val="0"/>
          <w:kern w:val="2"/>
        </w:rPr>
        <w:t>PCA</w:t>
      </w:r>
      <w:r w:rsidR="00606A74" w:rsidRPr="00A576A3">
        <w:rPr>
          <w:spacing w:val="0"/>
          <w:kern w:val="2"/>
        </w:rPr>
        <w:t>-HCCN</w:t>
      </w:r>
      <w:r w:rsidRPr="00A576A3">
        <w:rPr>
          <w:spacing w:val="0"/>
          <w:kern w:val="2"/>
        </w:rPr>
        <w:t>’s</w:t>
      </w:r>
      <w:proofErr w:type="spellEnd"/>
      <w:r w:rsidRPr="00A576A3">
        <w:rPr>
          <w:spacing w:val="0"/>
          <w:kern w:val="2"/>
        </w:rPr>
        <w:t xml:space="preserve"> name to the vendor’s act</w:t>
      </w:r>
      <w:r w:rsidR="00606A74" w:rsidRPr="00A576A3">
        <w:rPr>
          <w:spacing w:val="0"/>
          <w:kern w:val="2"/>
        </w:rPr>
        <w:t>ivities targeted to</w:t>
      </w:r>
      <w:r w:rsidRPr="00A576A3">
        <w:rPr>
          <w:spacing w:val="0"/>
          <w:kern w:val="2"/>
        </w:rPr>
        <w:t xml:space="preserve"> health center members, providing letter</w:t>
      </w:r>
      <w:r w:rsidR="00606A74" w:rsidRPr="00A576A3">
        <w:rPr>
          <w:spacing w:val="0"/>
          <w:kern w:val="2"/>
        </w:rPr>
        <w:t xml:space="preserve">s of support directed to the </w:t>
      </w:r>
      <w:proofErr w:type="spellStart"/>
      <w:r w:rsidRPr="00A576A3">
        <w:rPr>
          <w:spacing w:val="0"/>
          <w:kern w:val="2"/>
        </w:rPr>
        <w:t>PCA</w:t>
      </w:r>
      <w:r w:rsidR="00606A74" w:rsidRPr="00A576A3">
        <w:rPr>
          <w:spacing w:val="0"/>
          <w:kern w:val="2"/>
        </w:rPr>
        <w:t>-HCCN</w:t>
      </w:r>
      <w:r w:rsidRPr="00A576A3">
        <w:rPr>
          <w:spacing w:val="0"/>
          <w:kern w:val="2"/>
        </w:rPr>
        <w:t>’s</w:t>
      </w:r>
      <w:proofErr w:type="spellEnd"/>
      <w:r w:rsidRPr="00A576A3">
        <w:rPr>
          <w:spacing w:val="0"/>
          <w:kern w:val="2"/>
        </w:rPr>
        <w:t xml:space="preserve"> members, and</w:t>
      </w:r>
      <w:r w:rsidR="00606A74" w:rsidRPr="00A576A3">
        <w:rPr>
          <w:spacing w:val="0"/>
          <w:kern w:val="2"/>
        </w:rPr>
        <w:t xml:space="preserve"> making exhibit space at the </w:t>
      </w:r>
      <w:proofErr w:type="spellStart"/>
      <w:r w:rsidRPr="00A576A3">
        <w:rPr>
          <w:spacing w:val="0"/>
          <w:kern w:val="2"/>
        </w:rPr>
        <w:t>PCA</w:t>
      </w:r>
      <w:r w:rsidR="00606A74" w:rsidRPr="00A576A3">
        <w:rPr>
          <w:spacing w:val="0"/>
          <w:kern w:val="2"/>
        </w:rPr>
        <w:t>-HCN</w:t>
      </w:r>
      <w:r w:rsidR="00B45767" w:rsidRPr="00A576A3">
        <w:rPr>
          <w:spacing w:val="0"/>
          <w:kern w:val="2"/>
        </w:rPr>
        <w:t>’s</w:t>
      </w:r>
      <w:proofErr w:type="spellEnd"/>
      <w:r w:rsidRPr="00A576A3">
        <w:rPr>
          <w:spacing w:val="0"/>
          <w:kern w:val="2"/>
        </w:rPr>
        <w:t xml:space="preserve"> annual conference available to the vendor at discounted rates.</w:t>
      </w:r>
    </w:p>
    <w:p w:rsidR="002C5D54" w:rsidRPr="00A576A3" w:rsidRDefault="002C5D54" w:rsidP="00E50A5B">
      <w:pPr>
        <w:ind w:firstLine="720"/>
        <w:jc w:val="both"/>
        <w:rPr>
          <w:spacing w:val="0"/>
          <w:kern w:val="2"/>
        </w:rPr>
      </w:pPr>
    </w:p>
    <w:p w:rsidR="00B45767" w:rsidRPr="00A576A3" w:rsidRDefault="00B45767" w:rsidP="00E50A5B">
      <w:pPr>
        <w:jc w:val="both"/>
        <w:rPr>
          <w:spacing w:val="0"/>
          <w:kern w:val="2"/>
        </w:rPr>
      </w:pPr>
      <w:r w:rsidRPr="00A576A3">
        <w:rPr>
          <w:spacing w:val="0"/>
          <w:kern w:val="2"/>
        </w:rPr>
        <w:t>S</w:t>
      </w:r>
      <w:r w:rsidR="002C5D54" w:rsidRPr="00A576A3">
        <w:rPr>
          <w:spacing w:val="0"/>
          <w:kern w:val="2"/>
        </w:rPr>
        <w:t xml:space="preserve">everal legal issues may arise from </w:t>
      </w:r>
      <w:r w:rsidR="002E7024" w:rsidRPr="00A576A3">
        <w:rPr>
          <w:spacing w:val="0"/>
          <w:kern w:val="2"/>
        </w:rPr>
        <w:t>endorsing a product or service.</w:t>
      </w:r>
      <w:r w:rsidR="002C5D54" w:rsidRPr="00A576A3">
        <w:rPr>
          <w:spacing w:val="0"/>
          <w:kern w:val="2"/>
        </w:rPr>
        <w:t xml:space="preserve"> </w:t>
      </w:r>
      <w:r w:rsidR="00917FAC" w:rsidRPr="00A576A3">
        <w:rPr>
          <w:spacing w:val="0"/>
          <w:kern w:val="2"/>
        </w:rPr>
        <w:t>I</w:t>
      </w:r>
      <w:r w:rsidRPr="00A576A3">
        <w:rPr>
          <w:spacing w:val="0"/>
          <w:kern w:val="2"/>
        </w:rPr>
        <w:t xml:space="preserve">f the </w:t>
      </w:r>
      <w:proofErr w:type="spellStart"/>
      <w:r w:rsidR="002C5D54" w:rsidRPr="00A576A3">
        <w:rPr>
          <w:spacing w:val="0"/>
          <w:kern w:val="2"/>
        </w:rPr>
        <w:t>PCA</w:t>
      </w:r>
      <w:r w:rsidRPr="00A576A3">
        <w:rPr>
          <w:spacing w:val="0"/>
          <w:kern w:val="2"/>
        </w:rPr>
        <w:t>-HCCN</w:t>
      </w:r>
      <w:proofErr w:type="spellEnd"/>
      <w:r w:rsidR="002C5D54" w:rsidRPr="00A576A3">
        <w:rPr>
          <w:spacing w:val="0"/>
          <w:kern w:val="2"/>
        </w:rPr>
        <w:t xml:space="preserve"> is paid a fee for providing the endorsement, it must consider</w:t>
      </w:r>
      <w:r w:rsidRPr="00A576A3">
        <w:rPr>
          <w:spacing w:val="0"/>
          <w:kern w:val="2"/>
        </w:rPr>
        <w:t xml:space="preserve">: </w:t>
      </w:r>
    </w:p>
    <w:p w:rsidR="00B45767" w:rsidRPr="00A576A3" w:rsidRDefault="00B45767" w:rsidP="00E50A5B">
      <w:pPr>
        <w:jc w:val="both"/>
        <w:rPr>
          <w:spacing w:val="0"/>
          <w:kern w:val="2"/>
        </w:rPr>
      </w:pPr>
    </w:p>
    <w:p w:rsidR="00B45767" w:rsidRPr="00A576A3" w:rsidRDefault="00B45767" w:rsidP="00E50A5B">
      <w:pPr>
        <w:pStyle w:val="ListParagraph"/>
        <w:numPr>
          <w:ilvl w:val="0"/>
          <w:numId w:val="1"/>
        </w:numPr>
        <w:jc w:val="both"/>
        <w:rPr>
          <w:spacing w:val="0"/>
          <w:kern w:val="2"/>
        </w:rPr>
      </w:pPr>
      <w:r w:rsidRPr="00A576A3">
        <w:rPr>
          <w:spacing w:val="0"/>
          <w:kern w:val="2"/>
        </w:rPr>
        <w:t>W</w:t>
      </w:r>
      <w:r w:rsidR="002C5D54" w:rsidRPr="00A576A3">
        <w:rPr>
          <w:spacing w:val="0"/>
          <w:kern w:val="2"/>
        </w:rPr>
        <w:t>hether the fee is subject to unrelated business income tax (“</w:t>
      </w:r>
      <w:proofErr w:type="spellStart"/>
      <w:r w:rsidR="002C5D54" w:rsidRPr="00A576A3">
        <w:rPr>
          <w:spacing w:val="0"/>
          <w:kern w:val="2"/>
        </w:rPr>
        <w:t>UBIT</w:t>
      </w:r>
      <w:proofErr w:type="spellEnd"/>
      <w:r w:rsidR="002C5D54" w:rsidRPr="00A576A3">
        <w:rPr>
          <w:spacing w:val="0"/>
          <w:kern w:val="2"/>
        </w:rPr>
        <w:t>”) pursuant to Section 512 of the Internal Revenue Code (“IRC”)</w:t>
      </w:r>
      <w:r w:rsidRPr="00A576A3">
        <w:rPr>
          <w:rStyle w:val="FootnoteReference"/>
          <w:spacing w:val="0"/>
          <w:kern w:val="2"/>
        </w:rPr>
        <w:footnoteReference w:id="1"/>
      </w:r>
      <w:r w:rsidR="00E51F5C" w:rsidRPr="00A576A3">
        <w:rPr>
          <w:spacing w:val="0"/>
          <w:kern w:val="2"/>
        </w:rPr>
        <w:t>; and,</w:t>
      </w:r>
    </w:p>
    <w:p w:rsidR="002C5D54" w:rsidRPr="00A576A3" w:rsidRDefault="00B45767" w:rsidP="00E50A5B">
      <w:pPr>
        <w:pStyle w:val="ListParagraph"/>
        <w:numPr>
          <w:ilvl w:val="0"/>
          <w:numId w:val="1"/>
        </w:numPr>
        <w:jc w:val="both"/>
        <w:rPr>
          <w:spacing w:val="0"/>
          <w:kern w:val="2"/>
        </w:rPr>
      </w:pPr>
      <w:r w:rsidRPr="00A576A3">
        <w:rPr>
          <w:spacing w:val="0"/>
          <w:kern w:val="2"/>
        </w:rPr>
        <w:t>I</w:t>
      </w:r>
      <w:r w:rsidR="002C5D54" w:rsidRPr="00A576A3">
        <w:rPr>
          <w:spacing w:val="0"/>
          <w:kern w:val="2"/>
        </w:rPr>
        <w:t>f the vendor’s products or services will be</w:t>
      </w:r>
      <w:r w:rsidR="00B528B6" w:rsidRPr="00A576A3">
        <w:rPr>
          <w:spacing w:val="0"/>
          <w:kern w:val="2"/>
        </w:rPr>
        <w:t xml:space="preserve"> paid for by a f</w:t>
      </w:r>
      <w:r w:rsidR="002C5D54" w:rsidRPr="00A576A3">
        <w:rPr>
          <w:spacing w:val="0"/>
          <w:kern w:val="2"/>
        </w:rPr>
        <w:t>ederal health care program (i.e., Medicare</w:t>
      </w:r>
      <w:r w:rsidR="00917FAC" w:rsidRPr="00A576A3">
        <w:rPr>
          <w:spacing w:val="0"/>
          <w:kern w:val="2"/>
        </w:rPr>
        <w:t xml:space="preserve">, </w:t>
      </w:r>
      <w:r w:rsidR="002C5D54" w:rsidRPr="00A576A3">
        <w:rPr>
          <w:spacing w:val="0"/>
          <w:kern w:val="2"/>
        </w:rPr>
        <w:t>Medicaid</w:t>
      </w:r>
      <w:r w:rsidR="00917FAC" w:rsidRPr="00A576A3">
        <w:rPr>
          <w:spacing w:val="0"/>
          <w:kern w:val="2"/>
        </w:rPr>
        <w:t xml:space="preserve"> or any health care program, such as Section 330, wholly or p</w:t>
      </w:r>
      <w:r w:rsidR="00B528B6" w:rsidRPr="00A576A3">
        <w:rPr>
          <w:spacing w:val="0"/>
          <w:kern w:val="2"/>
        </w:rPr>
        <w:t>artially funded by the Federal G</w:t>
      </w:r>
      <w:r w:rsidR="00917FAC" w:rsidRPr="00A576A3">
        <w:rPr>
          <w:spacing w:val="0"/>
          <w:kern w:val="2"/>
        </w:rPr>
        <w:t>overnment</w:t>
      </w:r>
      <w:r w:rsidR="002C5D54" w:rsidRPr="00A576A3">
        <w:rPr>
          <w:spacing w:val="0"/>
          <w:kern w:val="2"/>
        </w:rPr>
        <w:t>), whether the fee would be c</w:t>
      </w:r>
      <w:r w:rsidR="00B528B6" w:rsidRPr="00A576A3">
        <w:rPr>
          <w:spacing w:val="0"/>
          <w:kern w:val="2"/>
        </w:rPr>
        <w:t>onsidered a kickback under the federal Anti-Kickback S</w:t>
      </w:r>
      <w:r w:rsidR="002C5D54" w:rsidRPr="00A576A3">
        <w:rPr>
          <w:spacing w:val="0"/>
          <w:kern w:val="2"/>
        </w:rPr>
        <w:t>tatute.</w:t>
      </w:r>
      <w:r w:rsidR="002E7024" w:rsidRPr="00A576A3">
        <w:rPr>
          <w:spacing w:val="0"/>
          <w:kern w:val="2"/>
        </w:rPr>
        <w:t xml:space="preserve"> </w:t>
      </w:r>
    </w:p>
    <w:p w:rsidR="002C5D54" w:rsidRPr="00A576A3" w:rsidRDefault="002C5D54" w:rsidP="00E50A5B">
      <w:pPr>
        <w:ind w:firstLine="720"/>
        <w:jc w:val="both"/>
        <w:rPr>
          <w:spacing w:val="0"/>
          <w:kern w:val="2"/>
        </w:rPr>
      </w:pPr>
    </w:p>
    <w:p w:rsidR="002C5D54" w:rsidRPr="00A576A3" w:rsidRDefault="002C5D54" w:rsidP="00E50A5B">
      <w:pPr>
        <w:jc w:val="both"/>
        <w:rPr>
          <w:spacing w:val="0"/>
          <w:kern w:val="2"/>
        </w:rPr>
      </w:pPr>
      <w:r w:rsidRPr="00A576A3">
        <w:rPr>
          <w:spacing w:val="0"/>
          <w:kern w:val="2"/>
        </w:rPr>
        <w:t xml:space="preserve">Under the </w:t>
      </w:r>
      <w:r w:rsidR="00E51F5C" w:rsidRPr="00A576A3">
        <w:rPr>
          <w:spacing w:val="0"/>
          <w:kern w:val="2"/>
        </w:rPr>
        <w:t xml:space="preserve">IRC, revenue received by a </w:t>
      </w:r>
      <w:proofErr w:type="spellStart"/>
      <w:r w:rsidRPr="00A576A3">
        <w:rPr>
          <w:spacing w:val="0"/>
          <w:kern w:val="2"/>
        </w:rPr>
        <w:t>PCA</w:t>
      </w:r>
      <w:r w:rsidR="00E51F5C" w:rsidRPr="00A576A3">
        <w:rPr>
          <w:spacing w:val="0"/>
          <w:kern w:val="2"/>
        </w:rPr>
        <w:t>-HCCN</w:t>
      </w:r>
      <w:proofErr w:type="spellEnd"/>
      <w:r w:rsidRPr="00A576A3">
        <w:rPr>
          <w:spacing w:val="0"/>
          <w:kern w:val="2"/>
        </w:rPr>
        <w:t xml:space="preserve"> for </w:t>
      </w:r>
      <w:r w:rsidR="002E7024" w:rsidRPr="00A576A3">
        <w:rPr>
          <w:spacing w:val="0"/>
          <w:kern w:val="2"/>
        </w:rPr>
        <w:t xml:space="preserve">advertising is subject to </w:t>
      </w:r>
      <w:proofErr w:type="spellStart"/>
      <w:r w:rsidR="002E7024" w:rsidRPr="00A576A3">
        <w:rPr>
          <w:spacing w:val="0"/>
          <w:kern w:val="2"/>
        </w:rPr>
        <w:t>UBIT</w:t>
      </w:r>
      <w:proofErr w:type="spellEnd"/>
      <w:r w:rsidR="002E7024" w:rsidRPr="00A576A3">
        <w:rPr>
          <w:spacing w:val="0"/>
          <w:kern w:val="2"/>
        </w:rPr>
        <w:t>.</w:t>
      </w:r>
      <w:r w:rsidRPr="00A576A3">
        <w:rPr>
          <w:spacing w:val="0"/>
          <w:kern w:val="2"/>
        </w:rPr>
        <w:t xml:space="preserve"> Typically, fees paid in connection with an endorsement will not be taxable as advert</w:t>
      </w:r>
      <w:r w:rsidR="00843F26" w:rsidRPr="00A576A3">
        <w:rPr>
          <w:spacing w:val="0"/>
          <w:kern w:val="2"/>
        </w:rPr>
        <w:t xml:space="preserve">ising revenue so long as the </w:t>
      </w:r>
      <w:proofErr w:type="spellStart"/>
      <w:r w:rsidRPr="00A576A3">
        <w:rPr>
          <w:spacing w:val="0"/>
          <w:kern w:val="2"/>
        </w:rPr>
        <w:t>PCA</w:t>
      </w:r>
      <w:r w:rsidR="00843F26" w:rsidRPr="00A576A3">
        <w:rPr>
          <w:spacing w:val="0"/>
          <w:kern w:val="2"/>
        </w:rPr>
        <w:t>-HCCN</w:t>
      </w:r>
      <w:proofErr w:type="spellEnd"/>
      <w:r w:rsidRPr="00A576A3">
        <w:rPr>
          <w:spacing w:val="0"/>
          <w:kern w:val="2"/>
        </w:rPr>
        <w:t xml:space="preserve"> follows certain guideline</w:t>
      </w:r>
      <w:r w:rsidR="00843F26" w:rsidRPr="00A576A3">
        <w:rPr>
          <w:spacing w:val="0"/>
          <w:kern w:val="2"/>
        </w:rPr>
        <w:t>s in endorsing vendor products.</w:t>
      </w:r>
      <w:r w:rsidRPr="00A576A3">
        <w:rPr>
          <w:spacing w:val="0"/>
          <w:kern w:val="2"/>
        </w:rPr>
        <w:t xml:space="preserve"> In particular, the endorsement should not include comparative descripti</w:t>
      </w:r>
      <w:r w:rsidR="00843F26" w:rsidRPr="00A576A3">
        <w:rPr>
          <w:spacing w:val="0"/>
          <w:kern w:val="2"/>
        </w:rPr>
        <w:t>ons of products.</w:t>
      </w:r>
      <w:r w:rsidR="00292991" w:rsidRPr="00A576A3">
        <w:rPr>
          <w:spacing w:val="0"/>
          <w:kern w:val="2"/>
        </w:rPr>
        <w:t xml:space="preserve"> V</w:t>
      </w:r>
      <w:r w:rsidRPr="00A576A3">
        <w:rPr>
          <w:spacing w:val="0"/>
          <w:kern w:val="2"/>
        </w:rPr>
        <w:t xml:space="preserve">alue-neutral descriptions </w:t>
      </w:r>
      <w:r w:rsidR="00970E9C" w:rsidRPr="00A576A3">
        <w:rPr>
          <w:spacing w:val="0"/>
          <w:kern w:val="2"/>
        </w:rPr>
        <w:t>of a</w:t>
      </w:r>
      <w:r w:rsidR="00917FAC" w:rsidRPr="00A576A3">
        <w:rPr>
          <w:spacing w:val="0"/>
          <w:kern w:val="2"/>
        </w:rPr>
        <w:t xml:space="preserve"> vendor’s </w:t>
      </w:r>
      <w:r w:rsidRPr="00A576A3">
        <w:rPr>
          <w:spacing w:val="0"/>
          <w:kern w:val="2"/>
        </w:rPr>
        <w:t>product line an</w:t>
      </w:r>
      <w:r w:rsidR="00B528B6" w:rsidRPr="00A576A3">
        <w:rPr>
          <w:spacing w:val="0"/>
          <w:kern w:val="2"/>
        </w:rPr>
        <w:t>d a list of locations, addresses</w:t>
      </w:r>
      <w:r w:rsidRPr="00A576A3">
        <w:rPr>
          <w:spacing w:val="0"/>
          <w:kern w:val="2"/>
        </w:rPr>
        <w:t>, telephone numbers and brand/trade names are allowed.</w:t>
      </w:r>
    </w:p>
    <w:p w:rsidR="002C5D54" w:rsidRPr="00A576A3" w:rsidRDefault="002C5D54" w:rsidP="00E50A5B">
      <w:pPr>
        <w:ind w:firstLine="720"/>
        <w:jc w:val="both"/>
        <w:rPr>
          <w:spacing w:val="0"/>
          <w:kern w:val="2"/>
        </w:rPr>
      </w:pPr>
    </w:p>
    <w:p w:rsidR="002C5D54" w:rsidRPr="00A576A3" w:rsidRDefault="002C5D54" w:rsidP="00E50A5B">
      <w:pPr>
        <w:jc w:val="both"/>
        <w:rPr>
          <w:spacing w:val="0"/>
          <w:kern w:val="2"/>
        </w:rPr>
      </w:pPr>
      <w:r w:rsidRPr="00A576A3">
        <w:rPr>
          <w:spacing w:val="0"/>
          <w:kern w:val="2"/>
        </w:rPr>
        <w:t>T</w:t>
      </w:r>
      <w:r w:rsidR="00B528B6" w:rsidRPr="00A576A3">
        <w:rPr>
          <w:spacing w:val="0"/>
          <w:kern w:val="2"/>
        </w:rPr>
        <w:t>he federal Anti-Kickback S</w:t>
      </w:r>
      <w:r w:rsidR="00843F26" w:rsidRPr="00A576A3">
        <w:rPr>
          <w:spacing w:val="0"/>
          <w:kern w:val="2"/>
        </w:rPr>
        <w:t>tatute</w:t>
      </w:r>
      <w:r w:rsidR="00843F26" w:rsidRPr="00A576A3">
        <w:rPr>
          <w:rStyle w:val="FootnoteReference"/>
          <w:spacing w:val="0"/>
          <w:kern w:val="2"/>
        </w:rPr>
        <w:footnoteReference w:id="2"/>
      </w:r>
      <w:r w:rsidR="00843F26" w:rsidRPr="00A576A3">
        <w:rPr>
          <w:spacing w:val="0"/>
          <w:kern w:val="2"/>
        </w:rPr>
        <w:t xml:space="preserve"> </w:t>
      </w:r>
      <w:r w:rsidRPr="00A576A3">
        <w:rPr>
          <w:spacing w:val="0"/>
          <w:kern w:val="2"/>
        </w:rPr>
        <w:t>prohibits payment of any r</w:t>
      </w:r>
      <w:r w:rsidR="00DA6F36" w:rsidRPr="00A576A3">
        <w:rPr>
          <w:spacing w:val="0"/>
          <w:kern w:val="2"/>
        </w:rPr>
        <w:t>emuneration to induce a person “</w:t>
      </w:r>
      <w:r w:rsidRPr="00A576A3">
        <w:rPr>
          <w:spacing w:val="0"/>
          <w:kern w:val="2"/>
        </w:rPr>
        <w:t>to refer an individual to a person for the furnishing or arranging for the fu</w:t>
      </w:r>
      <w:r w:rsidR="00DA6F36" w:rsidRPr="00A576A3">
        <w:rPr>
          <w:spacing w:val="0"/>
          <w:kern w:val="2"/>
        </w:rPr>
        <w:t>rnishing of any item or service”</w:t>
      </w:r>
      <w:r w:rsidR="00D031F1" w:rsidRPr="00A576A3">
        <w:rPr>
          <w:spacing w:val="0"/>
          <w:kern w:val="2"/>
        </w:rPr>
        <w:t xml:space="preserve"> or to induce a person “</w:t>
      </w:r>
      <w:r w:rsidRPr="00A576A3">
        <w:rPr>
          <w:spacing w:val="0"/>
          <w:kern w:val="2"/>
        </w:rPr>
        <w:t>to purchase, lease, order, or arrange for or recommend purchasing, leasing, or ordering any g</w:t>
      </w:r>
      <w:r w:rsidR="00D031F1" w:rsidRPr="00A576A3">
        <w:rPr>
          <w:spacing w:val="0"/>
          <w:kern w:val="2"/>
        </w:rPr>
        <w:t>ood, facility, service, or item”</w:t>
      </w:r>
      <w:r w:rsidRPr="00A576A3">
        <w:rPr>
          <w:spacing w:val="0"/>
          <w:kern w:val="2"/>
        </w:rPr>
        <w:t xml:space="preserve"> for which payment may be</w:t>
      </w:r>
      <w:r w:rsidR="00B528B6" w:rsidRPr="00A576A3">
        <w:rPr>
          <w:spacing w:val="0"/>
          <w:kern w:val="2"/>
        </w:rPr>
        <w:t xml:space="preserve"> made wholly or partially by a f</w:t>
      </w:r>
      <w:r w:rsidRPr="00A576A3">
        <w:rPr>
          <w:spacing w:val="0"/>
          <w:kern w:val="2"/>
        </w:rPr>
        <w:t>ederal health care program</w:t>
      </w:r>
      <w:r w:rsidR="00917FAC" w:rsidRPr="00A576A3">
        <w:rPr>
          <w:spacing w:val="0"/>
          <w:kern w:val="2"/>
        </w:rPr>
        <w:t>.</w:t>
      </w:r>
      <w:r w:rsidRPr="00A576A3">
        <w:rPr>
          <w:spacing w:val="0"/>
          <w:kern w:val="2"/>
        </w:rPr>
        <w:t xml:space="preserve"> The payment and receipt of an endorsement fee could be considered rem</w:t>
      </w:r>
      <w:r w:rsidR="00843F26" w:rsidRPr="00A576A3">
        <w:rPr>
          <w:spacing w:val="0"/>
          <w:kern w:val="2"/>
        </w:rPr>
        <w:t xml:space="preserve">uneration paid to induce the </w:t>
      </w:r>
      <w:proofErr w:type="spellStart"/>
      <w:r w:rsidRPr="00A576A3">
        <w:rPr>
          <w:spacing w:val="0"/>
          <w:kern w:val="2"/>
        </w:rPr>
        <w:t>PCA</w:t>
      </w:r>
      <w:r w:rsidR="00843F26" w:rsidRPr="00A576A3">
        <w:rPr>
          <w:spacing w:val="0"/>
          <w:kern w:val="2"/>
        </w:rPr>
        <w:t>-HCCN</w:t>
      </w:r>
      <w:proofErr w:type="spellEnd"/>
      <w:r w:rsidRPr="00A576A3">
        <w:rPr>
          <w:spacing w:val="0"/>
          <w:kern w:val="2"/>
        </w:rPr>
        <w:t xml:space="preserve"> to recommend purchasing a service or ordering an item for </w:t>
      </w:r>
      <w:r w:rsidR="00B528B6" w:rsidRPr="00A576A3">
        <w:rPr>
          <w:spacing w:val="0"/>
          <w:kern w:val="2"/>
        </w:rPr>
        <w:t>which payment may be made by a f</w:t>
      </w:r>
      <w:r w:rsidRPr="00A576A3">
        <w:rPr>
          <w:spacing w:val="0"/>
          <w:kern w:val="2"/>
        </w:rPr>
        <w:t>ederal health care program.</w:t>
      </w:r>
    </w:p>
    <w:p w:rsidR="002C5D54" w:rsidRPr="00A576A3" w:rsidRDefault="002C5D54" w:rsidP="00E50A5B">
      <w:pPr>
        <w:jc w:val="both"/>
        <w:rPr>
          <w:spacing w:val="0"/>
          <w:kern w:val="2"/>
        </w:rPr>
      </w:pPr>
    </w:p>
    <w:p w:rsidR="002C5D54" w:rsidRPr="00A576A3" w:rsidRDefault="002C5D54" w:rsidP="00E50A5B">
      <w:pPr>
        <w:jc w:val="both"/>
        <w:rPr>
          <w:spacing w:val="0"/>
          <w:kern w:val="2"/>
        </w:rPr>
      </w:pPr>
      <w:r w:rsidRPr="00A576A3">
        <w:rPr>
          <w:spacing w:val="0"/>
          <w:kern w:val="2"/>
        </w:rPr>
        <w:t xml:space="preserve">Although there is a safe harbor intended to protect contracts for services, the </w:t>
      </w:r>
      <w:r w:rsidR="00CA6498" w:rsidRPr="00A576A3">
        <w:rPr>
          <w:spacing w:val="0"/>
          <w:kern w:val="2"/>
        </w:rPr>
        <w:t xml:space="preserve">total </w:t>
      </w:r>
      <w:r w:rsidRPr="00A576A3">
        <w:rPr>
          <w:spacing w:val="0"/>
          <w:kern w:val="2"/>
        </w:rPr>
        <w:t xml:space="preserve">compensation for such services must be set in advance and </w:t>
      </w:r>
      <w:r w:rsidR="00CA6498" w:rsidRPr="00A576A3">
        <w:rPr>
          <w:spacing w:val="0"/>
          <w:kern w:val="2"/>
        </w:rPr>
        <w:t xml:space="preserve">may </w:t>
      </w:r>
      <w:r w:rsidRPr="00A576A3">
        <w:rPr>
          <w:spacing w:val="0"/>
          <w:kern w:val="2"/>
        </w:rPr>
        <w:t xml:space="preserve">not take into account the volume or value of </w:t>
      </w:r>
      <w:r w:rsidRPr="00A576A3">
        <w:rPr>
          <w:spacing w:val="0"/>
          <w:kern w:val="2"/>
        </w:rPr>
        <w:lastRenderedPageBreak/>
        <w:t>any business</w:t>
      </w:r>
      <w:r w:rsidR="002E7024" w:rsidRPr="00A576A3">
        <w:rPr>
          <w:spacing w:val="0"/>
          <w:kern w:val="2"/>
        </w:rPr>
        <w:t xml:space="preserve"> generated between the parties.</w:t>
      </w:r>
      <w:r w:rsidRPr="00A576A3">
        <w:rPr>
          <w:spacing w:val="0"/>
          <w:kern w:val="2"/>
        </w:rPr>
        <w:t xml:space="preserve"> </w:t>
      </w:r>
      <w:r w:rsidR="00CA6498" w:rsidRPr="00A576A3">
        <w:rPr>
          <w:spacing w:val="0"/>
          <w:kern w:val="2"/>
        </w:rPr>
        <w:t xml:space="preserve">Accordingly, if </w:t>
      </w:r>
      <w:r w:rsidR="00323E0F" w:rsidRPr="00A576A3">
        <w:rPr>
          <w:spacing w:val="0"/>
          <w:kern w:val="2"/>
        </w:rPr>
        <w:t xml:space="preserve">the </w:t>
      </w:r>
      <w:proofErr w:type="spellStart"/>
      <w:r w:rsidR="00970E9C" w:rsidRPr="00A576A3">
        <w:rPr>
          <w:spacing w:val="0"/>
          <w:kern w:val="2"/>
        </w:rPr>
        <w:t>PCA</w:t>
      </w:r>
      <w:r w:rsidR="00323E0F" w:rsidRPr="00A576A3">
        <w:rPr>
          <w:spacing w:val="0"/>
          <w:kern w:val="2"/>
        </w:rPr>
        <w:t>-HCCN</w:t>
      </w:r>
      <w:r w:rsidR="00970E9C" w:rsidRPr="00A576A3">
        <w:rPr>
          <w:spacing w:val="0"/>
          <w:kern w:val="2"/>
        </w:rPr>
        <w:t>’s</w:t>
      </w:r>
      <w:proofErr w:type="spellEnd"/>
      <w:r w:rsidR="00970E9C" w:rsidRPr="00A576A3">
        <w:rPr>
          <w:spacing w:val="0"/>
          <w:kern w:val="2"/>
        </w:rPr>
        <w:t xml:space="preserve"> compensation</w:t>
      </w:r>
      <w:r w:rsidRPr="00A576A3">
        <w:rPr>
          <w:spacing w:val="0"/>
          <w:kern w:val="2"/>
        </w:rPr>
        <w:t xml:space="preserve"> </w:t>
      </w:r>
      <w:r w:rsidR="00CA6498" w:rsidRPr="00A576A3">
        <w:rPr>
          <w:spacing w:val="0"/>
          <w:kern w:val="2"/>
        </w:rPr>
        <w:t xml:space="preserve">for endorsing a product is based </w:t>
      </w:r>
      <w:r w:rsidRPr="00A576A3">
        <w:rPr>
          <w:spacing w:val="0"/>
          <w:kern w:val="2"/>
        </w:rPr>
        <w:t>on the volume and/or value of the vendor’s business</w:t>
      </w:r>
      <w:r w:rsidR="00CA6498" w:rsidRPr="00A576A3">
        <w:rPr>
          <w:spacing w:val="0"/>
          <w:kern w:val="2"/>
        </w:rPr>
        <w:t xml:space="preserve">, such as a </w:t>
      </w:r>
      <w:r w:rsidR="00970E9C" w:rsidRPr="00A576A3">
        <w:rPr>
          <w:spacing w:val="0"/>
          <w:kern w:val="2"/>
        </w:rPr>
        <w:t>percentage of</w:t>
      </w:r>
      <w:r w:rsidR="00CA6498" w:rsidRPr="00A576A3">
        <w:rPr>
          <w:spacing w:val="0"/>
          <w:kern w:val="2"/>
        </w:rPr>
        <w:t xml:space="preserve"> sales, the arrangement would not be protected under </w:t>
      </w:r>
      <w:r w:rsidR="00323E0F" w:rsidRPr="00A576A3">
        <w:rPr>
          <w:spacing w:val="0"/>
          <w:kern w:val="2"/>
        </w:rPr>
        <w:t xml:space="preserve">the safe harbor. </w:t>
      </w:r>
      <w:r w:rsidRPr="00A576A3">
        <w:rPr>
          <w:spacing w:val="0"/>
          <w:kern w:val="2"/>
        </w:rPr>
        <w:t xml:space="preserve">Moreover, the </w:t>
      </w:r>
      <w:r w:rsidR="00690FD7" w:rsidRPr="00A576A3">
        <w:rPr>
          <w:spacing w:val="0"/>
          <w:kern w:val="2"/>
        </w:rPr>
        <w:t xml:space="preserve">Office of the </w:t>
      </w:r>
      <w:r w:rsidRPr="00A576A3">
        <w:rPr>
          <w:spacing w:val="0"/>
          <w:kern w:val="2"/>
        </w:rPr>
        <w:t>Inspector General of the Department</w:t>
      </w:r>
      <w:r w:rsidR="00D031F1" w:rsidRPr="00A576A3">
        <w:rPr>
          <w:spacing w:val="0"/>
          <w:kern w:val="2"/>
        </w:rPr>
        <w:t xml:space="preserve"> of Health and Human Services (“OIG”</w:t>
      </w:r>
      <w:r w:rsidRPr="00A576A3">
        <w:rPr>
          <w:spacing w:val="0"/>
          <w:kern w:val="2"/>
        </w:rPr>
        <w:t>) ha</w:t>
      </w:r>
      <w:r w:rsidR="00B528B6" w:rsidRPr="00A576A3">
        <w:rPr>
          <w:spacing w:val="0"/>
          <w:kern w:val="2"/>
        </w:rPr>
        <w:t>s</w:t>
      </w:r>
      <w:r w:rsidRPr="00A576A3">
        <w:rPr>
          <w:spacing w:val="0"/>
          <w:kern w:val="2"/>
        </w:rPr>
        <w:t xml:space="preserve"> emphasized </w:t>
      </w:r>
      <w:r w:rsidR="00B528B6" w:rsidRPr="00A576A3">
        <w:rPr>
          <w:spacing w:val="0"/>
          <w:kern w:val="2"/>
        </w:rPr>
        <w:t xml:space="preserve">in various advisory opinions </w:t>
      </w:r>
      <w:r w:rsidRPr="00A576A3">
        <w:rPr>
          <w:spacing w:val="0"/>
          <w:kern w:val="2"/>
        </w:rPr>
        <w:t>that providing compensation for marketing services on a percentage of revenue basis presents a high risk of a fraud and abuse violation.</w:t>
      </w:r>
    </w:p>
    <w:p w:rsidR="00917FAC" w:rsidRPr="00A576A3" w:rsidRDefault="00917FAC" w:rsidP="00E50A5B">
      <w:pPr>
        <w:ind w:firstLine="720"/>
        <w:jc w:val="both"/>
        <w:rPr>
          <w:spacing w:val="0"/>
          <w:kern w:val="2"/>
        </w:rPr>
      </w:pPr>
    </w:p>
    <w:p w:rsidR="00917FAC" w:rsidRPr="00A576A3" w:rsidRDefault="00323E0F" w:rsidP="00E50A5B">
      <w:pPr>
        <w:jc w:val="both"/>
        <w:rPr>
          <w:spacing w:val="0"/>
          <w:kern w:val="2"/>
        </w:rPr>
      </w:pPr>
      <w:r w:rsidRPr="00A576A3">
        <w:rPr>
          <w:spacing w:val="0"/>
          <w:kern w:val="2"/>
        </w:rPr>
        <w:t xml:space="preserve">Finally, a </w:t>
      </w:r>
      <w:proofErr w:type="spellStart"/>
      <w:r w:rsidR="00917FAC" w:rsidRPr="00A576A3">
        <w:rPr>
          <w:spacing w:val="0"/>
          <w:kern w:val="2"/>
        </w:rPr>
        <w:t>PCA</w:t>
      </w:r>
      <w:r w:rsidRPr="00A576A3">
        <w:rPr>
          <w:spacing w:val="0"/>
          <w:kern w:val="2"/>
        </w:rPr>
        <w:t>-HCCN</w:t>
      </w:r>
      <w:proofErr w:type="spellEnd"/>
      <w:r w:rsidR="00917FAC" w:rsidRPr="00A576A3">
        <w:rPr>
          <w:spacing w:val="0"/>
          <w:kern w:val="2"/>
        </w:rPr>
        <w:t xml:space="preserve"> that endorses a vendor of services or goods </w:t>
      </w:r>
      <w:r w:rsidRPr="00A576A3">
        <w:rPr>
          <w:spacing w:val="0"/>
          <w:kern w:val="2"/>
        </w:rPr>
        <w:t>is potentially</w:t>
      </w:r>
      <w:r w:rsidR="00917FAC" w:rsidRPr="00A576A3">
        <w:rPr>
          <w:spacing w:val="0"/>
          <w:kern w:val="2"/>
        </w:rPr>
        <w:t xml:space="preserve"> subject to tort liability to its members who use the services/goods, i.e., when a member relies on the association's endorsement and is harmed because of the negl</w:t>
      </w:r>
      <w:r w:rsidRPr="00A576A3">
        <w:rPr>
          <w:spacing w:val="0"/>
          <w:kern w:val="2"/>
        </w:rPr>
        <w:t>igence of the service provider.</w:t>
      </w:r>
      <w:r w:rsidR="00917FAC" w:rsidRPr="00A576A3">
        <w:rPr>
          <w:spacing w:val="0"/>
          <w:kern w:val="2"/>
        </w:rPr>
        <w:t xml:space="preserve"> While the likelihood of such liability</w:t>
      </w:r>
      <w:r w:rsidRPr="00A576A3">
        <w:rPr>
          <w:spacing w:val="0"/>
          <w:kern w:val="2"/>
        </w:rPr>
        <w:t xml:space="preserve"> is relatively remote, </w:t>
      </w:r>
      <w:proofErr w:type="spellStart"/>
      <w:r w:rsidR="00917FAC" w:rsidRPr="00A576A3">
        <w:rPr>
          <w:spacing w:val="0"/>
          <w:kern w:val="2"/>
        </w:rPr>
        <w:t>PCAs</w:t>
      </w:r>
      <w:r w:rsidRPr="00A576A3">
        <w:rPr>
          <w:spacing w:val="0"/>
          <w:kern w:val="2"/>
        </w:rPr>
        <w:t>-HCCNs</w:t>
      </w:r>
      <w:proofErr w:type="spellEnd"/>
      <w:r w:rsidR="00917FAC" w:rsidRPr="00A576A3">
        <w:rPr>
          <w:spacing w:val="0"/>
          <w:kern w:val="2"/>
        </w:rPr>
        <w:t xml:space="preserve"> should exercise due diligence before agreeing to an endorsement.</w:t>
      </w:r>
    </w:p>
    <w:p w:rsidR="002C5D54" w:rsidRPr="00A576A3" w:rsidRDefault="002C5D54" w:rsidP="00E50A5B">
      <w:pPr>
        <w:jc w:val="both"/>
        <w:rPr>
          <w:spacing w:val="0"/>
          <w:kern w:val="2"/>
        </w:rPr>
      </w:pPr>
    </w:p>
    <w:p w:rsidR="002C5D54" w:rsidRPr="00A576A3" w:rsidRDefault="003E0475" w:rsidP="00E50A5B">
      <w:pPr>
        <w:jc w:val="both"/>
        <w:rPr>
          <w:spacing w:val="0"/>
          <w:kern w:val="2"/>
        </w:rPr>
      </w:pPr>
      <w:r w:rsidRPr="00A576A3">
        <w:rPr>
          <w:b/>
          <w:spacing w:val="0"/>
          <w:kern w:val="2"/>
        </w:rPr>
        <w:t>Advice and Recommendations</w:t>
      </w:r>
      <w:r w:rsidR="00833B3A" w:rsidRPr="00A576A3">
        <w:rPr>
          <w:rStyle w:val="FootnoteReference"/>
          <w:b/>
          <w:spacing w:val="0"/>
          <w:kern w:val="2"/>
        </w:rPr>
        <w:footnoteReference w:id="3"/>
      </w:r>
    </w:p>
    <w:p w:rsidR="002C5D54" w:rsidRPr="00A576A3" w:rsidRDefault="002C5D54" w:rsidP="00E50A5B">
      <w:pPr>
        <w:jc w:val="both"/>
        <w:rPr>
          <w:spacing w:val="0"/>
          <w:kern w:val="2"/>
        </w:rPr>
      </w:pPr>
    </w:p>
    <w:p w:rsidR="002C5D54" w:rsidRPr="00A576A3" w:rsidRDefault="002C5D54" w:rsidP="00E50A5B">
      <w:pPr>
        <w:jc w:val="both"/>
        <w:rPr>
          <w:spacing w:val="0"/>
          <w:kern w:val="2"/>
        </w:rPr>
      </w:pPr>
      <w:proofErr w:type="spellStart"/>
      <w:r w:rsidRPr="00A576A3">
        <w:rPr>
          <w:spacing w:val="0"/>
          <w:kern w:val="2"/>
        </w:rPr>
        <w:t>PCAs</w:t>
      </w:r>
      <w:r w:rsidR="003855E9" w:rsidRPr="00A576A3">
        <w:rPr>
          <w:spacing w:val="0"/>
          <w:kern w:val="2"/>
        </w:rPr>
        <w:t>-HCCNs</w:t>
      </w:r>
      <w:proofErr w:type="spellEnd"/>
      <w:r w:rsidR="003855E9" w:rsidRPr="00A576A3">
        <w:rPr>
          <w:spacing w:val="0"/>
          <w:kern w:val="2"/>
        </w:rPr>
        <w:t xml:space="preserve"> may</w:t>
      </w:r>
      <w:r w:rsidRPr="00A576A3">
        <w:rPr>
          <w:spacing w:val="0"/>
          <w:kern w:val="2"/>
        </w:rPr>
        <w:t xml:space="preserve"> endorse a vendor’s services or </w:t>
      </w:r>
      <w:r w:rsidR="00CA6498" w:rsidRPr="00A576A3">
        <w:rPr>
          <w:spacing w:val="0"/>
          <w:kern w:val="2"/>
        </w:rPr>
        <w:t>goods so long as the arrangement is</w:t>
      </w:r>
      <w:r w:rsidR="00B528B6" w:rsidRPr="00A576A3">
        <w:rPr>
          <w:spacing w:val="0"/>
          <w:kern w:val="2"/>
        </w:rPr>
        <w:t xml:space="preserve"> structured carefully to avoid f</w:t>
      </w:r>
      <w:r w:rsidRPr="00A576A3">
        <w:rPr>
          <w:spacing w:val="0"/>
          <w:kern w:val="2"/>
        </w:rPr>
        <w:t>ederal income tax and fraud and abuse problems.</w:t>
      </w:r>
      <w:r w:rsidR="002E7024" w:rsidRPr="00A576A3">
        <w:rPr>
          <w:spacing w:val="0"/>
          <w:kern w:val="2"/>
        </w:rPr>
        <w:t xml:space="preserve"> </w:t>
      </w:r>
    </w:p>
    <w:p w:rsidR="002C5D54" w:rsidRPr="00A576A3" w:rsidRDefault="002C5D54" w:rsidP="00E50A5B">
      <w:pPr>
        <w:jc w:val="both"/>
        <w:rPr>
          <w:spacing w:val="0"/>
          <w:kern w:val="2"/>
        </w:rPr>
      </w:pPr>
    </w:p>
    <w:p w:rsidR="002C5D54" w:rsidRPr="00A576A3" w:rsidRDefault="002C5D54" w:rsidP="00E50A5B">
      <w:pPr>
        <w:jc w:val="both"/>
        <w:rPr>
          <w:spacing w:val="0"/>
          <w:kern w:val="2"/>
        </w:rPr>
      </w:pPr>
      <w:r w:rsidRPr="00A576A3">
        <w:rPr>
          <w:spacing w:val="0"/>
          <w:kern w:val="2"/>
        </w:rPr>
        <w:t>Trade associations typically attempt to structure endorsement deals so that they qualify for the statutory exemption from unrelated business in</w:t>
      </w:r>
      <w:r w:rsidR="00BC5525" w:rsidRPr="00A576A3">
        <w:rPr>
          <w:spacing w:val="0"/>
          <w:kern w:val="2"/>
        </w:rPr>
        <w:t>come provided for “r</w:t>
      </w:r>
      <w:r w:rsidR="003855E9" w:rsidRPr="00A576A3">
        <w:rPr>
          <w:spacing w:val="0"/>
          <w:kern w:val="2"/>
        </w:rPr>
        <w:t>oyalties.</w:t>
      </w:r>
      <w:r w:rsidR="00BC5525" w:rsidRPr="00A576A3">
        <w:rPr>
          <w:spacing w:val="0"/>
          <w:kern w:val="2"/>
        </w:rPr>
        <w:t>”</w:t>
      </w:r>
      <w:r w:rsidR="003855E9" w:rsidRPr="00A576A3">
        <w:rPr>
          <w:rStyle w:val="FootnoteReference"/>
          <w:spacing w:val="0"/>
          <w:kern w:val="2"/>
        </w:rPr>
        <w:footnoteReference w:id="4"/>
      </w:r>
      <w:r w:rsidR="003855E9" w:rsidRPr="00A576A3">
        <w:rPr>
          <w:spacing w:val="0"/>
          <w:kern w:val="2"/>
        </w:rPr>
        <w:t xml:space="preserve"> </w:t>
      </w:r>
      <w:r w:rsidRPr="00A576A3">
        <w:rPr>
          <w:spacing w:val="0"/>
          <w:kern w:val="2"/>
        </w:rPr>
        <w:t>The IRC does</w:t>
      </w:r>
      <w:r w:rsidR="003855E9" w:rsidRPr="00A576A3">
        <w:rPr>
          <w:spacing w:val="0"/>
          <w:kern w:val="2"/>
        </w:rPr>
        <w:t xml:space="preserve"> not define what a royalty is. T</w:t>
      </w:r>
      <w:r w:rsidRPr="00A576A3">
        <w:rPr>
          <w:spacing w:val="0"/>
          <w:kern w:val="2"/>
        </w:rPr>
        <w:t>here often</w:t>
      </w:r>
      <w:r w:rsidR="00CA6498" w:rsidRPr="00A576A3">
        <w:rPr>
          <w:spacing w:val="0"/>
          <w:kern w:val="2"/>
        </w:rPr>
        <w:t xml:space="preserve"> is</w:t>
      </w:r>
      <w:r w:rsidRPr="00A576A3">
        <w:rPr>
          <w:spacing w:val="0"/>
          <w:kern w:val="2"/>
        </w:rPr>
        <w:t xml:space="preserve"> a question as to whether the income paid to the trade association by a vendor is merely a payment</w:t>
      </w:r>
      <w:r w:rsidR="00BC5525" w:rsidRPr="00A576A3">
        <w:rPr>
          <w:spacing w:val="0"/>
          <w:kern w:val="2"/>
        </w:rPr>
        <w:t xml:space="preserve"> for the use of the association’</w:t>
      </w:r>
      <w:r w:rsidRPr="00A576A3">
        <w:rPr>
          <w:spacing w:val="0"/>
          <w:kern w:val="2"/>
        </w:rPr>
        <w:t xml:space="preserve">s name (e.g., a royalty) or payment for advertising or other services provided by the association in </w:t>
      </w:r>
      <w:r w:rsidR="0077124C" w:rsidRPr="00A576A3">
        <w:rPr>
          <w:spacing w:val="0"/>
          <w:kern w:val="2"/>
        </w:rPr>
        <w:t xml:space="preserve">consideration for the payment. </w:t>
      </w:r>
      <w:r w:rsidRPr="00A576A3">
        <w:rPr>
          <w:spacing w:val="0"/>
          <w:kern w:val="2"/>
        </w:rPr>
        <w:t>If the latter, the income is taxabl</w:t>
      </w:r>
      <w:r w:rsidR="0077124C" w:rsidRPr="00A576A3">
        <w:rPr>
          <w:spacing w:val="0"/>
          <w:kern w:val="2"/>
        </w:rPr>
        <w:t>e as unrelated business income.</w:t>
      </w:r>
      <w:r w:rsidRPr="00A576A3">
        <w:rPr>
          <w:spacing w:val="0"/>
          <w:kern w:val="2"/>
        </w:rPr>
        <w:t xml:space="preserve"> As a general</w:t>
      </w:r>
      <w:r w:rsidR="0077124C" w:rsidRPr="00A576A3">
        <w:rPr>
          <w:spacing w:val="0"/>
          <w:kern w:val="2"/>
        </w:rPr>
        <w:t xml:space="preserve"> rule, the more involved the </w:t>
      </w:r>
      <w:proofErr w:type="spellStart"/>
      <w:r w:rsidRPr="00A576A3">
        <w:rPr>
          <w:spacing w:val="0"/>
          <w:kern w:val="2"/>
        </w:rPr>
        <w:t>PCA</w:t>
      </w:r>
      <w:r w:rsidR="0077124C" w:rsidRPr="00A576A3">
        <w:rPr>
          <w:spacing w:val="0"/>
          <w:kern w:val="2"/>
        </w:rPr>
        <w:t>-HCCN</w:t>
      </w:r>
      <w:proofErr w:type="spellEnd"/>
      <w:r w:rsidRPr="00A576A3">
        <w:rPr>
          <w:spacing w:val="0"/>
          <w:kern w:val="2"/>
        </w:rPr>
        <w:t xml:space="preserve"> will be </w:t>
      </w:r>
      <w:r w:rsidR="00BC5525" w:rsidRPr="00A576A3">
        <w:rPr>
          <w:spacing w:val="0"/>
          <w:kern w:val="2"/>
        </w:rPr>
        <w:t>in marketing the vendor’</w:t>
      </w:r>
      <w:r w:rsidRPr="00A576A3">
        <w:rPr>
          <w:spacing w:val="0"/>
          <w:kern w:val="2"/>
        </w:rPr>
        <w:t>s product in return for the payment, the more likely it is that the activity will be considered unrelated business income.</w:t>
      </w:r>
    </w:p>
    <w:p w:rsidR="002C5D54" w:rsidRPr="00A576A3" w:rsidRDefault="002C5D54" w:rsidP="00E50A5B">
      <w:pPr>
        <w:jc w:val="both"/>
        <w:rPr>
          <w:spacing w:val="0"/>
          <w:kern w:val="2"/>
        </w:rPr>
      </w:pPr>
    </w:p>
    <w:p w:rsidR="002C5D54" w:rsidRPr="00A576A3" w:rsidRDefault="00B528B6" w:rsidP="00E50A5B">
      <w:pPr>
        <w:tabs>
          <w:tab w:val="left" w:pos="1260"/>
        </w:tabs>
        <w:jc w:val="both"/>
        <w:rPr>
          <w:spacing w:val="0"/>
          <w:kern w:val="2"/>
        </w:rPr>
      </w:pPr>
      <w:r w:rsidRPr="00A576A3">
        <w:rPr>
          <w:spacing w:val="0"/>
          <w:kern w:val="2"/>
        </w:rPr>
        <w:t>With respect to f</w:t>
      </w:r>
      <w:r w:rsidR="002C5D54" w:rsidRPr="00A576A3">
        <w:rPr>
          <w:spacing w:val="0"/>
          <w:kern w:val="2"/>
        </w:rPr>
        <w:t>ederal anti-kickback concerns, to date, the OIG has not issued an advisory opinion that specifically addresses trade assoc</w:t>
      </w:r>
      <w:r w:rsidR="0077124C" w:rsidRPr="00A576A3">
        <w:rPr>
          <w:spacing w:val="0"/>
          <w:kern w:val="2"/>
        </w:rPr>
        <w:t>iation endorsements. T</w:t>
      </w:r>
      <w:r w:rsidR="002C5D54" w:rsidRPr="00A576A3">
        <w:rPr>
          <w:spacing w:val="0"/>
          <w:kern w:val="2"/>
        </w:rPr>
        <w:t xml:space="preserve">he OIG holds a long-standing view that </w:t>
      </w:r>
      <w:r w:rsidRPr="00A576A3">
        <w:rPr>
          <w:spacing w:val="0"/>
          <w:kern w:val="2"/>
        </w:rPr>
        <w:t>the federal Anti-Kickback S</w:t>
      </w:r>
      <w:r w:rsidR="002C5D54" w:rsidRPr="00A576A3">
        <w:rPr>
          <w:spacing w:val="0"/>
          <w:kern w:val="2"/>
        </w:rPr>
        <w:t xml:space="preserve">tatute on its face prohibits offering or accepting remuneration, </w:t>
      </w:r>
      <w:r w:rsidR="002C5D54" w:rsidRPr="00A576A3">
        <w:rPr>
          <w:spacing w:val="0"/>
          <w:kern w:val="2"/>
          <w:u w:val="single"/>
        </w:rPr>
        <w:t>inter</w:t>
      </w:r>
      <w:r w:rsidR="002C5D54" w:rsidRPr="00A576A3">
        <w:rPr>
          <w:spacing w:val="0"/>
          <w:kern w:val="2"/>
        </w:rPr>
        <w:t xml:space="preserve"> </w:t>
      </w:r>
      <w:r w:rsidR="002C5D54" w:rsidRPr="00A576A3">
        <w:rPr>
          <w:spacing w:val="0"/>
          <w:kern w:val="2"/>
          <w:u w:val="single"/>
        </w:rPr>
        <w:t>alia</w:t>
      </w:r>
      <w:r w:rsidR="00690FD7" w:rsidRPr="00A576A3">
        <w:rPr>
          <w:spacing w:val="0"/>
          <w:kern w:val="2"/>
        </w:rPr>
        <w:t xml:space="preserve">, for the purposes of </w:t>
      </w:r>
      <w:r w:rsidR="002C5D54" w:rsidRPr="00A576A3">
        <w:rPr>
          <w:spacing w:val="0"/>
          <w:kern w:val="2"/>
        </w:rPr>
        <w:t>arranging for or recommending purchasing, leasing, or ord</w:t>
      </w:r>
      <w:r w:rsidRPr="00A576A3">
        <w:rPr>
          <w:spacing w:val="0"/>
          <w:kern w:val="2"/>
        </w:rPr>
        <w:t>ering any . . . service or item</w:t>
      </w:r>
      <w:r w:rsidR="002C5D54" w:rsidRPr="00A576A3">
        <w:rPr>
          <w:spacing w:val="0"/>
          <w:kern w:val="2"/>
        </w:rPr>
        <w:t xml:space="preserve"> payable under Me</w:t>
      </w:r>
      <w:r w:rsidR="0077124C" w:rsidRPr="00A576A3">
        <w:rPr>
          <w:spacing w:val="0"/>
          <w:kern w:val="2"/>
        </w:rPr>
        <w:t>dicare or Medicaid. I</w:t>
      </w:r>
      <w:r w:rsidR="002C5D54" w:rsidRPr="00A576A3">
        <w:rPr>
          <w:spacing w:val="0"/>
          <w:kern w:val="2"/>
        </w:rPr>
        <w:t>t is reasonable</w:t>
      </w:r>
      <w:r w:rsidR="0077124C" w:rsidRPr="00A576A3">
        <w:rPr>
          <w:spacing w:val="0"/>
          <w:kern w:val="2"/>
        </w:rPr>
        <w:t>, therefore,</w:t>
      </w:r>
      <w:r w:rsidR="002C5D54" w:rsidRPr="00A576A3">
        <w:rPr>
          <w:spacing w:val="0"/>
          <w:kern w:val="2"/>
        </w:rPr>
        <w:t xml:space="preserve"> to assume that the OIG will scrutinize endorsement arrangements carefully.</w:t>
      </w:r>
    </w:p>
    <w:p w:rsidR="002C5D54" w:rsidRPr="00A576A3" w:rsidRDefault="002C5D54" w:rsidP="00E50A5B">
      <w:pPr>
        <w:jc w:val="both"/>
        <w:rPr>
          <w:spacing w:val="0"/>
          <w:kern w:val="2"/>
        </w:rPr>
      </w:pPr>
    </w:p>
    <w:p w:rsidR="0077014A" w:rsidRPr="00A576A3" w:rsidRDefault="002C5D54" w:rsidP="00E50A5B">
      <w:pPr>
        <w:jc w:val="both"/>
        <w:rPr>
          <w:spacing w:val="0"/>
          <w:kern w:val="2"/>
        </w:rPr>
      </w:pPr>
      <w:r w:rsidRPr="00A576A3">
        <w:rPr>
          <w:spacing w:val="0"/>
          <w:kern w:val="2"/>
        </w:rPr>
        <w:t>Whether an endorsement arrangement is f</w:t>
      </w:r>
      <w:r w:rsidR="00292991" w:rsidRPr="00A576A3">
        <w:rPr>
          <w:spacing w:val="0"/>
          <w:kern w:val="2"/>
        </w:rPr>
        <w:t>ound to violate the f</w:t>
      </w:r>
      <w:r w:rsidRPr="00A576A3">
        <w:rPr>
          <w:spacing w:val="0"/>
          <w:kern w:val="2"/>
        </w:rPr>
        <w:t>ederal A</w:t>
      </w:r>
      <w:r w:rsidR="00292991" w:rsidRPr="00A576A3">
        <w:rPr>
          <w:spacing w:val="0"/>
          <w:kern w:val="2"/>
        </w:rPr>
        <w:t>nti-Kickback S</w:t>
      </w:r>
      <w:r w:rsidRPr="00A576A3">
        <w:rPr>
          <w:spacing w:val="0"/>
          <w:kern w:val="2"/>
        </w:rPr>
        <w:t>tatute will likely be a question of degre</w:t>
      </w:r>
      <w:r w:rsidR="0077124C" w:rsidRPr="00A576A3">
        <w:rPr>
          <w:spacing w:val="0"/>
          <w:kern w:val="2"/>
        </w:rPr>
        <w:t xml:space="preserve">e. </w:t>
      </w:r>
      <w:r w:rsidRPr="00A576A3">
        <w:rPr>
          <w:spacing w:val="0"/>
          <w:kern w:val="2"/>
        </w:rPr>
        <w:t xml:space="preserve">A reasonable argument could </w:t>
      </w:r>
      <w:r w:rsidR="0077124C" w:rsidRPr="00A576A3">
        <w:rPr>
          <w:spacing w:val="0"/>
          <w:kern w:val="2"/>
        </w:rPr>
        <w:t xml:space="preserve">be made that, as long as the </w:t>
      </w:r>
      <w:proofErr w:type="spellStart"/>
      <w:r w:rsidRPr="00A576A3">
        <w:rPr>
          <w:spacing w:val="0"/>
          <w:kern w:val="2"/>
        </w:rPr>
        <w:t>PCA</w:t>
      </w:r>
      <w:r w:rsidR="0077124C" w:rsidRPr="00A576A3">
        <w:rPr>
          <w:spacing w:val="0"/>
          <w:kern w:val="2"/>
        </w:rPr>
        <w:t>-HCCN</w:t>
      </w:r>
      <w:r w:rsidRPr="00A576A3">
        <w:rPr>
          <w:spacing w:val="0"/>
          <w:kern w:val="2"/>
        </w:rPr>
        <w:t>’s</w:t>
      </w:r>
      <w:proofErr w:type="spellEnd"/>
      <w:r w:rsidRPr="00A576A3">
        <w:rPr>
          <w:spacing w:val="0"/>
          <w:kern w:val="2"/>
        </w:rPr>
        <w:t xml:space="preserve"> ac</w:t>
      </w:r>
      <w:r w:rsidR="00DA6F36" w:rsidRPr="00A576A3">
        <w:rPr>
          <w:spacing w:val="0"/>
          <w:kern w:val="2"/>
        </w:rPr>
        <w:t>tivities in return for a vendor’</w:t>
      </w:r>
      <w:r w:rsidRPr="00A576A3">
        <w:rPr>
          <w:spacing w:val="0"/>
          <w:kern w:val="2"/>
        </w:rPr>
        <w:t>s payments are</w:t>
      </w:r>
      <w:r w:rsidR="00DA6F36" w:rsidRPr="00A576A3">
        <w:rPr>
          <w:spacing w:val="0"/>
          <w:kern w:val="2"/>
        </w:rPr>
        <w:t xml:space="preserve"> limited so as to constitute a “</w:t>
      </w:r>
      <w:r w:rsidRPr="00A576A3">
        <w:rPr>
          <w:spacing w:val="0"/>
          <w:kern w:val="2"/>
        </w:rPr>
        <w:t>royalty</w:t>
      </w:r>
      <w:r w:rsidR="00DA6F36" w:rsidRPr="00A576A3">
        <w:rPr>
          <w:spacing w:val="0"/>
          <w:kern w:val="2"/>
        </w:rPr>
        <w:t>”</w:t>
      </w:r>
      <w:r w:rsidRPr="00A576A3">
        <w:rPr>
          <w:spacing w:val="0"/>
          <w:kern w:val="2"/>
        </w:rPr>
        <w:t xml:space="preserve"> under the tax law, the</w:t>
      </w:r>
      <w:r w:rsidR="0077014A" w:rsidRPr="00A576A3">
        <w:rPr>
          <w:spacing w:val="0"/>
          <w:kern w:val="2"/>
        </w:rPr>
        <w:t xml:space="preserve">re is no anti-kickback problem. It should </w:t>
      </w:r>
      <w:r w:rsidRPr="00A576A3">
        <w:rPr>
          <w:spacing w:val="0"/>
          <w:kern w:val="2"/>
        </w:rPr>
        <w:t xml:space="preserve">be noted that, in the advisory </w:t>
      </w:r>
      <w:r w:rsidRPr="00A576A3">
        <w:rPr>
          <w:spacing w:val="0"/>
          <w:kern w:val="2"/>
        </w:rPr>
        <w:lastRenderedPageBreak/>
        <w:t>opinions, the OIG typically analyzes questionable arrangements in terms of increased potential for pro</w:t>
      </w:r>
      <w:r w:rsidR="0077014A" w:rsidRPr="00A576A3">
        <w:rPr>
          <w:spacing w:val="0"/>
          <w:kern w:val="2"/>
        </w:rPr>
        <w:t xml:space="preserve">gram abuse or overutilization. </w:t>
      </w:r>
      <w:r w:rsidRPr="00A576A3">
        <w:rPr>
          <w:spacing w:val="0"/>
          <w:kern w:val="2"/>
        </w:rPr>
        <w:t>The OIG tends to find less potential for abuse in situations in which the party receiving the payment (in this case, t</w:t>
      </w:r>
      <w:r w:rsidR="0077014A" w:rsidRPr="00A576A3">
        <w:rPr>
          <w:spacing w:val="0"/>
          <w:kern w:val="2"/>
        </w:rPr>
        <w:t xml:space="preserve">he </w:t>
      </w:r>
      <w:proofErr w:type="spellStart"/>
      <w:r w:rsidRPr="00A576A3">
        <w:rPr>
          <w:spacing w:val="0"/>
          <w:kern w:val="2"/>
        </w:rPr>
        <w:t>PCA</w:t>
      </w:r>
      <w:r w:rsidR="0077014A" w:rsidRPr="00A576A3">
        <w:rPr>
          <w:spacing w:val="0"/>
          <w:kern w:val="2"/>
        </w:rPr>
        <w:t>-HCCN</w:t>
      </w:r>
      <w:proofErr w:type="spellEnd"/>
      <w:r w:rsidRPr="00A576A3">
        <w:rPr>
          <w:spacing w:val="0"/>
          <w:kern w:val="2"/>
        </w:rPr>
        <w:t>)</w:t>
      </w:r>
      <w:r w:rsidR="0077014A" w:rsidRPr="00A576A3">
        <w:rPr>
          <w:spacing w:val="0"/>
          <w:kern w:val="2"/>
        </w:rPr>
        <w:t>:</w:t>
      </w:r>
      <w:r w:rsidRPr="00A576A3">
        <w:rPr>
          <w:spacing w:val="0"/>
          <w:kern w:val="2"/>
        </w:rPr>
        <w:t xml:space="preserve"> </w:t>
      </w:r>
    </w:p>
    <w:p w:rsidR="0077014A" w:rsidRPr="00A576A3" w:rsidRDefault="0077014A" w:rsidP="00E50A5B">
      <w:pPr>
        <w:jc w:val="both"/>
        <w:rPr>
          <w:spacing w:val="0"/>
          <w:kern w:val="2"/>
        </w:rPr>
      </w:pPr>
    </w:p>
    <w:p w:rsidR="00F72A8B" w:rsidRPr="00A576A3" w:rsidRDefault="00F72A8B" w:rsidP="00D031F1">
      <w:pPr>
        <w:pStyle w:val="ListParagraph"/>
        <w:numPr>
          <w:ilvl w:val="0"/>
          <w:numId w:val="2"/>
        </w:numPr>
        <w:ind w:left="1080"/>
        <w:jc w:val="both"/>
        <w:rPr>
          <w:spacing w:val="0"/>
          <w:kern w:val="2"/>
        </w:rPr>
      </w:pPr>
      <w:r w:rsidRPr="00A576A3">
        <w:rPr>
          <w:spacing w:val="0"/>
          <w:kern w:val="2"/>
        </w:rPr>
        <w:t>D</w:t>
      </w:r>
      <w:r w:rsidR="002C5D54" w:rsidRPr="00A576A3">
        <w:rPr>
          <w:spacing w:val="0"/>
          <w:kern w:val="2"/>
        </w:rPr>
        <w:t>oes not have direct contact with health care providers in a position to order the item or servi</w:t>
      </w:r>
      <w:r w:rsidR="00292991" w:rsidRPr="00A576A3">
        <w:rPr>
          <w:spacing w:val="0"/>
          <w:kern w:val="2"/>
        </w:rPr>
        <w:t>ce that would be paid for by a f</w:t>
      </w:r>
      <w:r w:rsidR="00690FD7" w:rsidRPr="00A576A3">
        <w:rPr>
          <w:spacing w:val="0"/>
          <w:kern w:val="2"/>
        </w:rPr>
        <w:t xml:space="preserve">ederal </w:t>
      </w:r>
      <w:r w:rsidRPr="00A576A3">
        <w:rPr>
          <w:spacing w:val="0"/>
          <w:kern w:val="2"/>
        </w:rPr>
        <w:t>health care program;</w:t>
      </w:r>
    </w:p>
    <w:p w:rsidR="00F72A8B" w:rsidRPr="00A576A3" w:rsidRDefault="00F72A8B" w:rsidP="00D031F1">
      <w:pPr>
        <w:pStyle w:val="ListParagraph"/>
        <w:numPr>
          <w:ilvl w:val="0"/>
          <w:numId w:val="2"/>
        </w:numPr>
        <w:ind w:left="1080"/>
        <w:jc w:val="both"/>
        <w:rPr>
          <w:spacing w:val="0"/>
          <w:kern w:val="2"/>
        </w:rPr>
      </w:pPr>
      <w:r w:rsidRPr="00A576A3">
        <w:rPr>
          <w:spacing w:val="0"/>
          <w:kern w:val="2"/>
        </w:rPr>
        <w:t>D</w:t>
      </w:r>
      <w:r w:rsidR="002C5D54" w:rsidRPr="00A576A3">
        <w:rPr>
          <w:spacing w:val="0"/>
          <w:kern w:val="2"/>
        </w:rPr>
        <w:t>oes not have direct contact w</w:t>
      </w:r>
      <w:r w:rsidRPr="00A576A3">
        <w:rPr>
          <w:spacing w:val="0"/>
          <w:kern w:val="2"/>
        </w:rPr>
        <w:t>ith program beneficiaries; and,</w:t>
      </w:r>
    </w:p>
    <w:p w:rsidR="002E7024" w:rsidRPr="00A576A3" w:rsidRDefault="00F72A8B" w:rsidP="00D031F1">
      <w:pPr>
        <w:pStyle w:val="ListParagraph"/>
        <w:numPr>
          <w:ilvl w:val="0"/>
          <w:numId w:val="2"/>
        </w:numPr>
        <w:ind w:left="1080"/>
        <w:jc w:val="both"/>
        <w:rPr>
          <w:spacing w:val="0"/>
          <w:kern w:val="2"/>
        </w:rPr>
      </w:pPr>
      <w:r w:rsidRPr="00A576A3">
        <w:rPr>
          <w:spacing w:val="0"/>
          <w:kern w:val="2"/>
        </w:rPr>
        <w:t>I</w:t>
      </w:r>
      <w:r w:rsidR="002C5D54" w:rsidRPr="00A576A3">
        <w:rPr>
          <w:spacing w:val="0"/>
          <w:kern w:val="2"/>
        </w:rPr>
        <w:t>s not in a position to exert undue pressure on purchasers or patients t</w:t>
      </w:r>
      <w:r w:rsidR="002E7024" w:rsidRPr="00A576A3">
        <w:rPr>
          <w:spacing w:val="0"/>
          <w:kern w:val="2"/>
        </w:rPr>
        <w:t>o use the item being endorsed.</w:t>
      </w:r>
    </w:p>
    <w:p w:rsidR="0077014A" w:rsidRPr="00A576A3" w:rsidRDefault="0077014A" w:rsidP="00E50A5B">
      <w:pPr>
        <w:jc w:val="both"/>
        <w:rPr>
          <w:spacing w:val="0"/>
          <w:kern w:val="2"/>
        </w:rPr>
      </w:pPr>
    </w:p>
    <w:p w:rsidR="002C5D54" w:rsidRPr="00A576A3" w:rsidRDefault="002C5D54" w:rsidP="00E50A5B">
      <w:pPr>
        <w:jc w:val="both"/>
        <w:rPr>
          <w:spacing w:val="0"/>
          <w:kern w:val="2"/>
        </w:rPr>
      </w:pPr>
      <w:r w:rsidRPr="00A576A3">
        <w:rPr>
          <w:spacing w:val="0"/>
          <w:kern w:val="2"/>
        </w:rPr>
        <w:t>Since in the t</w:t>
      </w:r>
      <w:r w:rsidR="00F72A8B" w:rsidRPr="00A576A3">
        <w:rPr>
          <w:spacing w:val="0"/>
          <w:kern w:val="2"/>
        </w:rPr>
        <w:t xml:space="preserve">ypical endorsement deal, the </w:t>
      </w:r>
      <w:proofErr w:type="spellStart"/>
      <w:r w:rsidRPr="00A576A3">
        <w:rPr>
          <w:spacing w:val="0"/>
          <w:kern w:val="2"/>
        </w:rPr>
        <w:t>PCA</w:t>
      </w:r>
      <w:r w:rsidR="00F72A8B" w:rsidRPr="00A576A3">
        <w:rPr>
          <w:spacing w:val="0"/>
          <w:kern w:val="2"/>
        </w:rPr>
        <w:t>-HCCN</w:t>
      </w:r>
      <w:proofErr w:type="spellEnd"/>
      <w:r w:rsidRPr="00A576A3">
        <w:rPr>
          <w:spacing w:val="0"/>
          <w:kern w:val="2"/>
        </w:rPr>
        <w:t xml:space="preserve"> has no control over whether its member health centers actually use the endorsed produc</w:t>
      </w:r>
      <w:r w:rsidR="00F72A8B" w:rsidRPr="00A576A3">
        <w:rPr>
          <w:spacing w:val="0"/>
          <w:kern w:val="2"/>
        </w:rPr>
        <w:t xml:space="preserve">t, these factors work in the </w:t>
      </w:r>
      <w:proofErr w:type="spellStart"/>
      <w:r w:rsidRPr="00A576A3">
        <w:rPr>
          <w:spacing w:val="0"/>
          <w:kern w:val="2"/>
        </w:rPr>
        <w:t>PCA</w:t>
      </w:r>
      <w:r w:rsidR="00F72A8B" w:rsidRPr="00A576A3">
        <w:rPr>
          <w:spacing w:val="0"/>
          <w:kern w:val="2"/>
        </w:rPr>
        <w:t>-HCCN</w:t>
      </w:r>
      <w:r w:rsidRPr="00A576A3">
        <w:rPr>
          <w:spacing w:val="0"/>
          <w:kern w:val="2"/>
        </w:rPr>
        <w:t>’s</w:t>
      </w:r>
      <w:proofErr w:type="spellEnd"/>
      <w:r w:rsidRPr="00A576A3">
        <w:rPr>
          <w:spacing w:val="0"/>
          <w:kern w:val="2"/>
        </w:rPr>
        <w:t xml:space="preserve"> favor in a fraud and abuse analysis.</w:t>
      </w:r>
    </w:p>
    <w:p w:rsidR="002C5D54" w:rsidRPr="00A576A3" w:rsidRDefault="002C5D54" w:rsidP="00E50A5B">
      <w:pPr>
        <w:ind w:firstLine="720"/>
        <w:jc w:val="both"/>
        <w:rPr>
          <w:spacing w:val="0"/>
          <w:kern w:val="2"/>
        </w:rPr>
      </w:pPr>
    </w:p>
    <w:p w:rsidR="002C5D54" w:rsidRPr="00A576A3" w:rsidRDefault="00690FD7" w:rsidP="00E50A5B">
      <w:pPr>
        <w:jc w:val="both"/>
        <w:rPr>
          <w:spacing w:val="0"/>
          <w:kern w:val="2"/>
        </w:rPr>
      </w:pPr>
      <w:r w:rsidRPr="00A576A3">
        <w:rPr>
          <w:spacing w:val="0"/>
          <w:kern w:val="2"/>
        </w:rPr>
        <w:t>Obviously, neither the Anti-Kickback S</w:t>
      </w:r>
      <w:r w:rsidR="002C5D54" w:rsidRPr="00A576A3">
        <w:rPr>
          <w:spacing w:val="0"/>
          <w:kern w:val="2"/>
        </w:rPr>
        <w:t xml:space="preserve">tatute nor </w:t>
      </w:r>
      <w:proofErr w:type="spellStart"/>
      <w:r w:rsidR="002C5D54" w:rsidRPr="00A576A3">
        <w:rPr>
          <w:spacing w:val="0"/>
          <w:kern w:val="2"/>
        </w:rPr>
        <w:t>UBIT</w:t>
      </w:r>
      <w:proofErr w:type="spellEnd"/>
      <w:r w:rsidR="002C5D54" w:rsidRPr="00A576A3">
        <w:rPr>
          <w:spacing w:val="0"/>
          <w:kern w:val="2"/>
        </w:rPr>
        <w:t xml:space="preserve"> would </w:t>
      </w:r>
      <w:r w:rsidR="00E2325B" w:rsidRPr="00A576A3">
        <w:rPr>
          <w:spacing w:val="0"/>
          <w:kern w:val="2"/>
        </w:rPr>
        <w:t>pose a m</w:t>
      </w:r>
      <w:r w:rsidR="002C5D54" w:rsidRPr="00A576A3">
        <w:rPr>
          <w:spacing w:val="0"/>
          <w:kern w:val="2"/>
        </w:rPr>
        <w:t>aterial</w:t>
      </w:r>
      <w:r w:rsidR="00E2325B" w:rsidRPr="00A576A3">
        <w:rPr>
          <w:spacing w:val="0"/>
          <w:kern w:val="2"/>
        </w:rPr>
        <w:t xml:space="preserve"> risk</w:t>
      </w:r>
      <w:r w:rsidR="00F72A8B" w:rsidRPr="00A576A3">
        <w:rPr>
          <w:spacing w:val="0"/>
          <w:kern w:val="2"/>
        </w:rPr>
        <w:t xml:space="preserve"> if the </w:t>
      </w:r>
      <w:proofErr w:type="spellStart"/>
      <w:r w:rsidR="002C5D54" w:rsidRPr="00A576A3">
        <w:rPr>
          <w:spacing w:val="0"/>
          <w:kern w:val="2"/>
        </w:rPr>
        <w:t>PCA</w:t>
      </w:r>
      <w:r w:rsidR="00F72A8B" w:rsidRPr="00A576A3">
        <w:rPr>
          <w:spacing w:val="0"/>
          <w:kern w:val="2"/>
        </w:rPr>
        <w:t>-HCCN</w:t>
      </w:r>
      <w:proofErr w:type="spellEnd"/>
      <w:r w:rsidR="002C5D54" w:rsidRPr="00A576A3">
        <w:rPr>
          <w:spacing w:val="0"/>
          <w:kern w:val="2"/>
        </w:rPr>
        <w:t xml:space="preserve"> does not receive compensation for its endorsements. </w:t>
      </w:r>
    </w:p>
    <w:p w:rsidR="002C5D54" w:rsidRPr="00A576A3" w:rsidRDefault="002C5D54" w:rsidP="00E50A5B">
      <w:pPr>
        <w:jc w:val="both"/>
        <w:rPr>
          <w:spacing w:val="0"/>
          <w:kern w:val="2"/>
        </w:rPr>
      </w:pPr>
    </w:p>
    <w:p w:rsidR="002C5D54" w:rsidRPr="00A576A3" w:rsidRDefault="00A76C2F" w:rsidP="00E50A5B">
      <w:pPr>
        <w:pStyle w:val="ListParagraph"/>
        <w:numPr>
          <w:ilvl w:val="0"/>
          <w:numId w:val="3"/>
        </w:numPr>
        <w:jc w:val="both"/>
        <w:rPr>
          <w:spacing w:val="0"/>
          <w:kern w:val="2"/>
        </w:rPr>
      </w:pPr>
      <w:hyperlink r:id="rId9" w:history="1">
        <w:r w:rsidR="002C5D54" w:rsidRPr="00A76C2F">
          <w:rPr>
            <w:rStyle w:val="Hyperlink"/>
            <w:spacing w:val="0"/>
            <w:kern w:val="2"/>
          </w:rPr>
          <w:t>Endors</w:t>
        </w:r>
        <w:r w:rsidR="002C5D54" w:rsidRPr="00A76C2F">
          <w:rPr>
            <w:rStyle w:val="Hyperlink"/>
            <w:spacing w:val="0"/>
            <w:kern w:val="2"/>
          </w:rPr>
          <w:t>e</w:t>
        </w:r>
        <w:r w:rsidR="002C5D54" w:rsidRPr="00A76C2F">
          <w:rPr>
            <w:rStyle w:val="Hyperlink"/>
            <w:spacing w:val="0"/>
            <w:kern w:val="2"/>
          </w:rPr>
          <w:t>ments</w:t>
        </w:r>
        <w:r w:rsidR="00F72A8B" w:rsidRPr="00A76C2F">
          <w:rPr>
            <w:rStyle w:val="Hyperlink"/>
            <w:spacing w:val="0"/>
            <w:kern w:val="2"/>
          </w:rPr>
          <w:t>: Sample policy and procedure</w:t>
        </w:r>
      </w:hyperlink>
      <w:bookmarkStart w:id="0" w:name="_GoBack"/>
      <w:bookmarkEnd w:id="0"/>
    </w:p>
    <w:p w:rsidR="0000738F" w:rsidRPr="00A576A3" w:rsidRDefault="0000738F" w:rsidP="00E50A5B">
      <w:pPr>
        <w:jc w:val="both"/>
        <w:rPr>
          <w:spacing w:val="0"/>
          <w:kern w:val="2"/>
        </w:rPr>
      </w:pPr>
    </w:p>
    <w:sectPr w:rsidR="0000738F" w:rsidRPr="00A576A3" w:rsidSect="00E523A0">
      <w:headerReference w:type="default" r:id="rId10"/>
      <w:footerReference w:type="default" r:id="rId11"/>
      <w:pgSz w:w="12240" w:h="15840" w:code="1"/>
      <w:pgMar w:top="1440" w:right="1440" w:bottom="1440" w:left="1440" w:header="720" w:footer="5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8B6" w:rsidRDefault="00B528B6" w:rsidP="00B528B6">
      <w:r>
        <w:separator/>
      </w:r>
    </w:p>
  </w:endnote>
  <w:endnote w:type="continuationSeparator" w:id="0">
    <w:p w:rsidR="00B528B6" w:rsidRDefault="00B528B6" w:rsidP="00B5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8B6" w:rsidRPr="006B59DD" w:rsidRDefault="00B528B6" w:rsidP="00B528B6">
    <w:pPr>
      <w:pBdr>
        <w:bottom w:val="single" w:sz="12" w:space="0" w:color="auto"/>
      </w:pBdr>
      <w:rPr>
        <w:rFonts w:eastAsia="Calibri"/>
        <w:bCs w:val="0"/>
        <w:sz w:val="20"/>
        <w:szCs w:val="20"/>
      </w:rPr>
    </w:pPr>
  </w:p>
  <w:p w:rsidR="00B528B6" w:rsidRPr="006B59DD" w:rsidRDefault="00B528B6" w:rsidP="00B528B6">
    <w:pPr>
      <w:tabs>
        <w:tab w:val="left" w:pos="2340"/>
      </w:tabs>
      <w:jc w:val="center"/>
      <w:rPr>
        <w:rFonts w:eastAsia="Calibri"/>
        <w:bCs w:val="0"/>
        <w:sz w:val="20"/>
        <w:szCs w:val="20"/>
      </w:rPr>
    </w:pPr>
  </w:p>
  <w:p w:rsidR="00B528B6" w:rsidRPr="00BC5525" w:rsidRDefault="00E47C99" w:rsidP="00B528B6">
    <w:pPr>
      <w:tabs>
        <w:tab w:val="left" w:pos="2340"/>
      </w:tabs>
      <w:jc w:val="center"/>
      <w:rPr>
        <w:rFonts w:eastAsia="Calibri"/>
        <w:bCs w:val="0"/>
        <w:spacing w:val="0"/>
        <w:kern w:val="2"/>
        <w:sz w:val="20"/>
        <w:szCs w:val="20"/>
      </w:rPr>
    </w:pPr>
    <w:r w:rsidRPr="00BC5525">
      <w:rPr>
        <w:rFonts w:eastAsia="Calibri"/>
        <w:spacing w:val="0"/>
        <w:kern w:val="2"/>
        <w:sz w:val="20"/>
        <w:szCs w:val="20"/>
      </w:rPr>
      <w:t xml:space="preserve">The Corporate </w:t>
    </w:r>
    <w:r w:rsidR="00B528B6" w:rsidRPr="00BC5525">
      <w:rPr>
        <w:rFonts w:eastAsia="Calibri"/>
        <w:spacing w:val="0"/>
        <w:kern w:val="2"/>
        <w:sz w:val="20"/>
        <w:szCs w:val="20"/>
      </w:rPr>
      <w:t>Compliance Toolkit</w:t>
    </w:r>
    <w:r w:rsidRPr="00BC5525">
      <w:rPr>
        <w:rFonts w:eastAsia="Calibri"/>
        <w:spacing w:val="0"/>
        <w:kern w:val="2"/>
        <w:sz w:val="20"/>
        <w:szCs w:val="20"/>
      </w:rPr>
      <w:t xml:space="preserve"> for </w:t>
    </w:r>
    <w:proofErr w:type="spellStart"/>
    <w:r w:rsidRPr="00BC5525">
      <w:rPr>
        <w:rFonts w:eastAsia="Calibri"/>
        <w:spacing w:val="0"/>
        <w:kern w:val="2"/>
        <w:sz w:val="20"/>
        <w:szCs w:val="20"/>
      </w:rPr>
      <w:t>PCAs-HCCNs</w:t>
    </w:r>
    <w:proofErr w:type="spellEnd"/>
  </w:p>
  <w:p w:rsidR="00B528B6" w:rsidRPr="00BC5525" w:rsidRDefault="00B528B6" w:rsidP="00B528B6">
    <w:pPr>
      <w:tabs>
        <w:tab w:val="left" w:pos="2340"/>
      </w:tabs>
      <w:jc w:val="center"/>
      <w:rPr>
        <w:rFonts w:eastAsia="Calibri"/>
        <w:bCs w:val="0"/>
        <w:spacing w:val="0"/>
        <w:kern w:val="2"/>
        <w:sz w:val="20"/>
        <w:szCs w:val="20"/>
        <w:lang w:val="de-DE"/>
      </w:rPr>
    </w:pPr>
    <w:r w:rsidRPr="00BC5525">
      <w:rPr>
        <w:rFonts w:eastAsia="Calibri"/>
        <w:spacing w:val="0"/>
        <w:kern w:val="2"/>
        <w:sz w:val="20"/>
        <w:szCs w:val="20"/>
        <w:lang w:val="de-DE"/>
      </w:rPr>
      <w:t>© 201</w:t>
    </w:r>
    <w:r w:rsidR="00E47C99" w:rsidRPr="00BC5525">
      <w:rPr>
        <w:rFonts w:eastAsia="Calibri"/>
        <w:spacing w:val="0"/>
        <w:kern w:val="2"/>
        <w:sz w:val="20"/>
        <w:szCs w:val="20"/>
        <w:lang w:val="de-DE"/>
      </w:rPr>
      <w:t>5</w:t>
    </w:r>
    <w:r w:rsidRPr="00BC5525">
      <w:rPr>
        <w:rFonts w:eastAsia="Calibri"/>
        <w:spacing w:val="0"/>
        <w:kern w:val="2"/>
        <w:sz w:val="20"/>
        <w:szCs w:val="20"/>
        <w:lang w:val="de-DE"/>
      </w:rPr>
      <w:t xml:space="preserve"> </w:t>
    </w:r>
    <w:r w:rsidRPr="00BC5525">
      <w:rPr>
        <w:rFonts w:eastAsia="Calibri"/>
        <w:spacing w:val="0"/>
        <w:kern w:val="2"/>
        <w:sz w:val="20"/>
        <w:szCs w:val="20"/>
      </w:rPr>
      <w:t>National Association of Community Health Centers, Inc.</w:t>
    </w:r>
  </w:p>
  <w:p w:rsidR="00B528B6" w:rsidRPr="006B59DD" w:rsidRDefault="00B528B6" w:rsidP="00B528B6">
    <w:pPr>
      <w:tabs>
        <w:tab w:val="left" w:pos="2340"/>
      </w:tabs>
      <w:jc w:val="center"/>
      <w:rPr>
        <w:rFonts w:eastAsia="Calibri"/>
        <w:bCs w:val="0"/>
        <w:sz w:val="20"/>
        <w:szCs w:val="20"/>
        <w:lang w:val="de-DE"/>
      </w:rPr>
    </w:pPr>
    <w:r w:rsidRPr="00BC5525">
      <w:rPr>
        <w:rFonts w:eastAsia="Calibri"/>
        <w:spacing w:val="0"/>
        <w:kern w:val="2"/>
        <w:sz w:val="20"/>
        <w:szCs w:val="20"/>
        <w:lang w:val="de-DE"/>
      </w:rPr>
      <w:t>and Feldesman Tucker Leifer Fidell LLP</w:t>
    </w:r>
  </w:p>
  <w:p w:rsidR="00B528B6" w:rsidRPr="006B59DD" w:rsidRDefault="00B528B6" w:rsidP="00B528B6">
    <w:pPr>
      <w:tabs>
        <w:tab w:val="left" w:pos="2340"/>
      </w:tabs>
      <w:jc w:val="center"/>
      <w:rPr>
        <w:rFonts w:eastAsia="Calibri"/>
        <w:bCs w:val="0"/>
        <w:sz w:val="20"/>
        <w:szCs w:val="20"/>
      </w:rPr>
    </w:pPr>
  </w:p>
  <w:p w:rsidR="00B528B6" w:rsidRPr="00B528B6" w:rsidRDefault="00B528B6" w:rsidP="00B528B6">
    <w:pPr>
      <w:tabs>
        <w:tab w:val="left" w:pos="2340"/>
      </w:tabs>
      <w:jc w:val="center"/>
      <w:rPr>
        <w:rFonts w:eastAsia="Calibri"/>
        <w:sz w:val="20"/>
        <w:szCs w:val="20"/>
        <w:lang w:val="de-DE"/>
      </w:rPr>
    </w:pPr>
    <w:r w:rsidRPr="006B59DD">
      <w:rPr>
        <w:rFonts w:eastAsia="Calibri"/>
        <w:bCs w:val="0"/>
        <w:sz w:val="20"/>
        <w:szCs w:val="20"/>
      </w:rPr>
      <w:fldChar w:fldCharType="begin"/>
    </w:r>
    <w:r w:rsidRPr="006B59DD">
      <w:rPr>
        <w:rFonts w:eastAsia="Calibri"/>
        <w:sz w:val="20"/>
        <w:szCs w:val="20"/>
      </w:rPr>
      <w:instrText xml:space="preserve"> PAGE </w:instrText>
    </w:r>
    <w:r w:rsidRPr="006B59DD">
      <w:rPr>
        <w:rFonts w:eastAsia="Calibri"/>
        <w:bCs w:val="0"/>
        <w:sz w:val="20"/>
        <w:szCs w:val="20"/>
      </w:rPr>
      <w:fldChar w:fldCharType="separate"/>
    </w:r>
    <w:r w:rsidR="00A76C2F">
      <w:rPr>
        <w:rFonts w:eastAsia="Calibri"/>
        <w:noProof/>
        <w:sz w:val="20"/>
        <w:szCs w:val="20"/>
      </w:rPr>
      <w:t>3</w:t>
    </w:r>
    <w:r w:rsidRPr="006B59DD">
      <w:rPr>
        <w:rFonts w:eastAsia="Calibri"/>
        <w:bCs w:val="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8B6" w:rsidRDefault="00B528B6" w:rsidP="00B528B6">
      <w:r>
        <w:separator/>
      </w:r>
    </w:p>
  </w:footnote>
  <w:footnote w:type="continuationSeparator" w:id="0">
    <w:p w:rsidR="00B528B6" w:rsidRDefault="00B528B6" w:rsidP="00B528B6">
      <w:r>
        <w:continuationSeparator/>
      </w:r>
    </w:p>
  </w:footnote>
  <w:footnote w:id="1">
    <w:p w:rsidR="00B45767" w:rsidRDefault="00B45767" w:rsidP="00E523A0">
      <w:pPr>
        <w:pStyle w:val="FootnoteText"/>
        <w:ind w:left="360" w:hanging="360"/>
      </w:pPr>
      <w:r>
        <w:rPr>
          <w:rStyle w:val="FootnoteReference"/>
        </w:rPr>
        <w:footnoteRef/>
      </w:r>
      <w:r>
        <w:t xml:space="preserve"> </w:t>
      </w:r>
      <w:r w:rsidR="00E523A0">
        <w:tab/>
      </w:r>
      <w:r w:rsidRPr="00B45767">
        <w:rPr>
          <w:u w:val="single"/>
        </w:rPr>
        <w:t>See</w:t>
      </w:r>
      <w:r>
        <w:t xml:space="preserve"> </w:t>
      </w:r>
      <w:hyperlink r:id="rId1" w:history="1">
        <w:proofErr w:type="gramStart"/>
        <w:r w:rsidR="00E51F5C">
          <w:rPr>
            <w:rStyle w:val="Hyperlink"/>
          </w:rPr>
          <w:t>Unrelated</w:t>
        </w:r>
        <w:proofErr w:type="gramEnd"/>
        <w:r w:rsidR="00E51F5C">
          <w:rPr>
            <w:rStyle w:val="Hyperlink"/>
          </w:rPr>
          <w:t xml:space="preserve"> business a</w:t>
        </w:r>
        <w:r w:rsidRPr="00690FD7">
          <w:rPr>
            <w:rStyle w:val="Hyperlink"/>
          </w:rPr>
          <w:t>ctivities</w:t>
        </w:r>
      </w:hyperlink>
      <w:r w:rsidR="00E51F5C">
        <w:rPr>
          <w:rStyle w:val="Hyperlink"/>
        </w:rPr>
        <w:t>: Introductory guidance</w:t>
      </w:r>
      <w:r>
        <w:t>.</w:t>
      </w:r>
    </w:p>
  </w:footnote>
  <w:footnote w:id="2">
    <w:p w:rsidR="00843F26" w:rsidRDefault="00843F26" w:rsidP="00E523A0">
      <w:pPr>
        <w:pStyle w:val="FootnoteText"/>
        <w:ind w:left="360" w:hanging="360"/>
      </w:pPr>
      <w:r>
        <w:rPr>
          <w:rStyle w:val="FootnoteReference"/>
        </w:rPr>
        <w:footnoteRef/>
      </w:r>
      <w:r>
        <w:t xml:space="preserve"> </w:t>
      </w:r>
      <w:r w:rsidR="00E523A0">
        <w:tab/>
      </w:r>
      <w:r w:rsidRPr="00B528B6">
        <w:t xml:space="preserve">42 </w:t>
      </w:r>
      <w:proofErr w:type="spellStart"/>
      <w:r w:rsidRPr="00B528B6">
        <w:t>U.S.C</w:t>
      </w:r>
      <w:proofErr w:type="spellEnd"/>
      <w:r w:rsidRPr="00B528B6">
        <w:t xml:space="preserve">. § </w:t>
      </w:r>
      <w:r>
        <w:t>1320a-</w:t>
      </w:r>
      <w:proofErr w:type="gramStart"/>
      <w:r>
        <w:t>7b(</w:t>
      </w:r>
      <w:proofErr w:type="gramEnd"/>
      <w:r>
        <w:t>b).</w:t>
      </w:r>
    </w:p>
  </w:footnote>
  <w:footnote w:id="3">
    <w:p w:rsidR="00833B3A" w:rsidRPr="00BC5525" w:rsidRDefault="00833B3A" w:rsidP="00427C83">
      <w:pPr>
        <w:ind w:left="360" w:hanging="360"/>
        <w:rPr>
          <w:color w:val="000000"/>
          <w:spacing w:val="0"/>
          <w:kern w:val="2"/>
          <w:sz w:val="20"/>
          <w:szCs w:val="20"/>
        </w:rPr>
      </w:pPr>
      <w:r w:rsidRPr="00833B3A">
        <w:rPr>
          <w:rStyle w:val="FootnoteReference"/>
          <w:sz w:val="20"/>
          <w:szCs w:val="20"/>
        </w:rPr>
        <w:footnoteRef/>
      </w:r>
      <w:r w:rsidRPr="00833B3A">
        <w:rPr>
          <w:sz w:val="20"/>
          <w:szCs w:val="20"/>
        </w:rPr>
        <w:t xml:space="preserve"> </w:t>
      </w:r>
      <w:r w:rsidR="00BC5525">
        <w:rPr>
          <w:sz w:val="20"/>
          <w:szCs w:val="20"/>
        </w:rPr>
        <w:tab/>
      </w:r>
      <w:r w:rsidRPr="00BC5525">
        <w:rPr>
          <w:color w:val="000000"/>
          <w:spacing w:val="0"/>
          <w:kern w:val="2"/>
          <w:sz w:val="20"/>
          <w:szCs w:val="20"/>
        </w:rPr>
        <w:t>The Authors of these materials include attorneys at the law firm of Feldesman Tucker Leifer Fidell LLP. The advice and recommendations consist of general guidance based on federal law and regulati</w:t>
      </w:r>
      <w:r w:rsidR="003E0475" w:rsidRPr="00BC5525">
        <w:rPr>
          <w:color w:val="000000"/>
          <w:spacing w:val="0"/>
          <w:kern w:val="2"/>
          <w:sz w:val="20"/>
          <w:szCs w:val="20"/>
        </w:rPr>
        <w:t>ons</w:t>
      </w:r>
      <w:r w:rsidRPr="00BC5525">
        <w:rPr>
          <w:color w:val="000000"/>
          <w:spacing w:val="0"/>
          <w:kern w:val="2"/>
          <w:sz w:val="20"/>
          <w:szCs w:val="20"/>
        </w:rPr>
        <w:t xml:space="preserve"> and do not necessarily apply to all</w:t>
      </w:r>
      <w:r w:rsidR="003855E9" w:rsidRPr="00BC5525">
        <w:rPr>
          <w:color w:val="000000"/>
          <w:spacing w:val="0"/>
          <w:kern w:val="2"/>
          <w:sz w:val="20"/>
          <w:szCs w:val="20"/>
        </w:rPr>
        <w:t xml:space="preserve"> </w:t>
      </w:r>
      <w:proofErr w:type="spellStart"/>
      <w:r w:rsidRPr="00BC5525">
        <w:rPr>
          <w:color w:val="000000"/>
          <w:spacing w:val="0"/>
          <w:kern w:val="2"/>
          <w:sz w:val="20"/>
          <w:szCs w:val="20"/>
        </w:rPr>
        <w:t>PCAs</w:t>
      </w:r>
      <w:r w:rsidR="003855E9" w:rsidRPr="00BC5525">
        <w:rPr>
          <w:color w:val="000000"/>
          <w:spacing w:val="0"/>
          <w:kern w:val="2"/>
          <w:sz w:val="20"/>
          <w:szCs w:val="20"/>
        </w:rPr>
        <w:t>-HCCNs</w:t>
      </w:r>
      <w:proofErr w:type="spellEnd"/>
      <w:r w:rsidRPr="00BC5525">
        <w:rPr>
          <w:color w:val="000000"/>
          <w:spacing w:val="0"/>
          <w:kern w:val="2"/>
          <w:sz w:val="20"/>
          <w:szCs w:val="20"/>
        </w:rPr>
        <w:t xml:space="preserve"> under all facts and circumstances. Further, these materials do not replace, and are not a substitute for, legal advice from qualified legal counsel.</w:t>
      </w:r>
    </w:p>
  </w:footnote>
  <w:footnote w:id="4">
    <w:p w:rsidR="003855E9" w:rsidRDefault="003855E9" w:rsidP="00427C83">
      <w:pPr>
        <w:pStyle w:val="FootnoteText"/>
        <w:ind w:left="360" w:hanging="360"/>
      </w:pPr>
      <w:r w:rsidRPr="00BC5525">
        <w:rPr>
          <w:rStyle w:val="FootnoteReference"/>
          <w:spacing w:val="0"/>
          <w:kern w:val="2"/>
        </w:rPr>
        <w:footnoteRef/>
      </w:r>
      <w:r w:rsidRPr="00BC5525">
        <w:rPr>
          <w:spacing w:val="0"/>
          <w:kern w:val="2"/>
        </w:rPr>
        <w:t xml:space="preserve"> </w:t>
      </w:r>
      <w:r w:rsidR="00BC5525" w:rsidRPr="00BC5525">
        <w:rPr>
          <w:spacing w:val="0"/>
          <w:kern w:val="2"/>
        </w:rPr>
        <w:tab/>
      </w:r>
      <w:r w:rsidRPr="00BC5525">
        <w:rPr>
          <w:spacing w:val="0"/>
          <w:kern w:val="2"/>
          <w:u w:val="single"/>
        </w:rPr>
        <w:t xml:space="preserve">See </w:t>
      </w:r>
      <w:r w:rsidR="002E7024" w:rsidRPr="00BC5525">
        <w:rPr>
          <w:spacing w:val="0"/>
          <w:kern w:val="2"/>
        </w:rPr>
        <w:t>Section 512(b</w:t>
      </w:r>
      <w:proofErr w:type="gramStart"/>
      <w:r w:rsidR="002E7024" w:rsidRPr="00BC5525">
        <w:rPr>
          <w:spacing w:val="0"/>
          <w:kern w:val="2"/>
        </w:rPr>
        <w:t>)(</w:t>
      </w:r>
      <w:proofErr w:type="gramEnd"/>
      <w:r w:rsidR="002E7024" w:rsidRPr="00BC5525">
        <w:rPr>
          <w:spacing w:val="0"/>
          <w:kern w:val="2"/>
        </w:rPr>
        <w:t>2) of the IRC.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8B6" w:rsidRPr="00E7634B" w:rsidRDefault="00B528B6" w:rsidP="00B528B6">
    <w:pPr>
      <w:jc w:val="center"/>
      <w:rPr>
        <w:spacing w:val="0"/>
        <w:sz w:val="20"/>
      </w:rPr>
    </w:pPr>
    <w:r w:rsidRPr="00E7634B">
      <w:rPr>
        <w:spacing w:val="0"/>
        <w:sz w:val="20"/>
      </w:rPr>
      <w:t>V</w:t>
    </w:r>
    <w:r w:rsidR="00E47C99" w:rsidRPr="00E7634B">
      <w:rPr>
        <w:spacing w:val="0"/>
        <w:sz w:val="20"/>
      </w:rPr>
      <w:t xml:space="preserve">olume II: </w:t>
    </w:r>
    <w:proofErr w:type="spellStart"/>
    <w:r w:rsidRPr="00E7634B">
      <w:rPr>
        <w:spacing w:val="0"/>
        <w:sz w:val="20"/>
      </w:rPr>
      <w:t>PCA</w:t>
    </w:r>
    <w:r w:rsidR="00E47C99" w:rsidRPr="00E7634B">
      <w:rPr>
        <w:spacing w:val="0"/>
        <w:sz w:val="20"/>
      </w:rPr>
      <w:t>-HCCN</w:t>
    </w:r>
    <w:proofErr w:type="spellEnd"/>
    <w:r w:rsidRPr="00E7634B">
      <w:rPr>
        <w:spacing w:val="0"/>
        <w:sz w:val="20"/>
      </w:rPr>
      <w:t xml:space="preserve"> Risk Areas</w:t>
    </w:r>
  </w:p>
  <w:p w:rsidR="00B528B6" w:rsidRPr="00014E7E" w:rsidRDefault="00B528B6" w:rsidP="00B528B6">
    <w:pPr>
      <w:pBdr>
        <w:bottom w:val="single" w:sz="12" w:space="0" w:color="auto"/>
      </w:pBdr>
      <w:jc w:val="center"/>
      <w:rPr>
        <w:sz w:val="20"/>
      </w:rPr>
    </w:pPr>
    <w:r w:rsidRPr="00E7634B">
      <w:rPr>
        <w:spacing w:val="0"/>
        <w:sz w:val="20"/>
      </w:rPr>
      <w:t>Product Development</w:t>
    </w:r>
  </w:p>
  <w:p w:rsidR="00B528B6" w:rsidRPr="00014E7E" w:rsidRDefault="00B528B6" w:rsidP="00B528B6">
    <w:pPr>
      <w:pBdr>
        <w:bottom w:val="single" w:sz="12" w:space="0" w:color="auto"/>
      </w:pBdr>
      <w:jc w:val="center"/>
      <w:rPr>
        <w:sz w:val="20"/>
      </w:rPr>
    </w:pPr>
  </w:p>
  <w:p w:rsidR="00B528B6" w:rsidRDefault="00B528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A6794"/>
    <w:multiLevelType w:val="hybridMultilevel"/>
    <w:tmpl w:val="E6AA8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0F7DCE"/>
    <w:multiLevelType w:val="hybridMultilevel"/>
    <w:tmpl w:val="3E5CA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7B33E8"/>
    <w:multiLevelType w:val="hybridMultilevel"/>
    <w:tmpl w:val="19146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D54"/>
    <w:rsid w:val="0000738F"/>
    <w:rsid w:val="00083404"/>
    <w:rsid w:val="000A4490"/>
    <w:rsid w:val="000B4285"/>
    <w:rsid w:val="00141DDE"/>
    <w:rsid w:val="00186080"/>
    <w:rsid w:val="00235D7B"/>
    <w:rsid w:val="00292991"/>
    <w:rsid w:val="002A6439"/>
    <w:rsid w:val="002C5D54"/>
    <w:rsid w:val="002E7024"/>
    <w:rsid w:val="00323E0F"/>
    <w:rsid w:val="00324D3D"/>
    <w:rsid w:val="0036018B"/>
    <w:rsid w:val="003855E9"/>
    <w:rsid w:val="003E0475"/>
    <w:rsid w:val="00402749"/>
    <w:rsid w:val="00421FAA"/>
    <w:rsid w:val="00425550"/>
    <w:rsid w:val="00427C83"/>
    <w:rsid w:val="004465CD"/>
    <w:rsid w:val="004559C7"/>
    <w:rsid w:val="00462C89"/>
    <w:rsid w:val="0047433E"/>
    <w:rsid w:val="005C0006"/>
    <w:rsid w:val="005F1106"/>
    <w:rsid w:val="00606A74"/>
    <w:rsid w:val="00690FD7"/>
    <w:rsid w:val="006B17FF"/>
    <w:rsid w:val="0074631C"/>
    <w:rsid w:val="007625CD"/>
    <w:rsid w:val="0077014A"/>
    <w:rsid w:val="0077124C"/>
    <w:rsid w:val="007F6206"/>
    <w:rsid w:val="00833B3A"/>
    <w:rsid w:val="00843F26"/>
    <w:rsid w:val="008A7438"/>
    <w:rsid w:val="00914D44"/>
    <w:rsid w:val="00917FAC"/>
    <w:rsid w:val="00920444"/>
    <w:rsid w:val="00947EDD"/>
    <w:rsid w:val="00957401"/>
    <w:rsid w:val="00970E9C"/>
    <w:rsid w:val="00A36ABD"/>
    <w:rsid w:val="00A576A3"/>
    <w:rsid w:val="00A67EA6"/>
    <w:rsid w:val="00A76C2F"/>
    <w:rsid w:val="00AF3C41"/>
    <w:rsid w:val="00B45767"/>
    <w:rsid w:val="00B528B6"/>
    <w:rsid w:val="00BC5525"/>
    <w:rsid w:val="00BD23E9"/>
    <w:rsid w:val="00C92A63"/>
    <w:rsid w:val="00CA6498"/>
    <w:rsid w:val="00CF0470"/>
    <w:rsid w:val="00D02674"/>
    <w:rsid w:val="00D031F1"/>
    <w:rsid w:val="00D503B5"/>
    <w:rsid w:val="00DA5DD4"/>
    <w:rsid w:val="00DA6F36"/>
    <w:rsid w:val="00DB2F67"/>
    <w:rsid w:val="00E2325B"/>
    <w:rsid w:val="00E41A4D"/>
    <w:rsid w:val="00E47C99"/>
    <w:rsid w:val="00E50A5B"/>
    <w:rsid w:val="00E51F5C"/>
    <w:rsid w:val="00E523A0"/>
    <w:rsid w:val="00E7634B"/>
    <w:rsid w:val="00F72A8B"/>
    <w:rsid w:val="00FB4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D54"/>
    <w:pPr>
      <w:spacing w:after="0" w:line="240" w:lineRule="auto"/>
    </w:pPr>
    <w:rPr>
      <w:rFonts w:ascii="Times New Roman" w:eastAsia="Times New Roman" w:hAnsi="Times New Roman" w:cs="Times New Roman"/>
      <w:bCs/>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EDD"/>
    <w:pPr>
      <w:spacing w:after="0" w:line="240" w:lineRule="auto"/>
    </w:pPr>
  </w:style>
  <w:style w:type="paragraph" w:styleId="Title">
    <w:name w:val="Title"/>
    <w:basedOn w:val="Normal"/>
    <w:link w:val="TitleChar"/>
    <w:qFormat/>
    <w:rsid w:val="00B528B6"/>
    <w:pPr>
      <w:jc w:val="center"/>
    </w:pPr>
    <w:rPr>
      <w:rFonts w:ascii="Arial" w:hAnsi="Arial"/>
      <w:b/>
      <w:spacing w:val="0"/>
      <w:sz w:val="22"/>
      <w:szCs w:val="20"/>
    </w:rPr>
  </w:style>
  <w:style w:type="character" w:customStyle="1" w:styleId="TitleChar">
    <w:name w:val="Title Char"/>
    <w:basedOn w:val="DefaultParagraphFont"/>
    <w:link w:val="Title"/>
    <w:rsid w:val="00B528B6"/>
    <w:rPr>
      <w:rFonts w:ascii="Arial" w:eastAsia="Times New Roman" w:hAnsi="Arial" w:cs="Times New Roman"/>
      <w:b/>
      <w:bCs/>
      <w:szCs w:val="20"/>
    </w:rPr>
  </w:style>
  <w:style w:type="paragraph" w:styleId="Header">
    <w:name w:val="header"/>
    <w:basedOn w:val="Normal"/>
    <w:link w:val="HeaderChar"/>
    <w:uiPriority w:val="99"/>
    <w:unhideWhenUsed/>
    <w:rsid w:val="00B528B6"/>
    <w:pPr>
      <w:tabs>
        <w:tab w:val="center" w:pos="4680"/>
        <w:tab w:val="right" w:pos="9360"/>
      </w:tabs>
    </w:pPr>
  </w:style>
  <w:style w:type="character" w:customStyle="1" w:styleId="HeaderChar">
    <w:name w:val="Header Char"/>
    <w:basedOn w:val="DefaultParagraphFont"/>
    <w:link w:val="Header"/>
    <w:uiPriority w:val="99"/>
    <w:rsid w:val="00B528B6"/>
    <w:rPr>
      <w:rFonts w:ascii="Times New Roman" w:eastAsia="Times New Roman" w:hAnsi="Times New Roman" w:cs="Times New Roman"/>
      <w:bCs/>
      <w:spacing w:val="-3"/>
      <w:sz w:val="24"/>
      <w:szCs w:val="24"/>
    </w:rPr>
  </w:style>
  <w:style w:type="paragraph" w:styleId="Footer">
    <w:name w:val="footer"/>
    <w:basedOn w:val="Normal"/>
    <w:link w:val="FooterChar"/>
    <w:uiPriority w:val="99"/>
    <w:unhideWhenUsed/>
    <w:rsid w:val="00B528B6"/>
    <w:pPr>
      <w:tabs>
        <w:tab w:val="center" w:pos="4680"/>
        <w:tab w:val="right" w:pos="9360"/>
      </w:tabs>
    </w:pPr>
  </w:style>
  <w:style w:type="character" w:customStyle="1" w:styleId="FooterChar">
    <w:name w:val="Footer Char"/>
    <w:basedOn w:val="DefaultParagraphFont"/>
    <w:link w:val="Footer"/>
    <w:uiPriority w:val="99"/>
    <w:rsid w:val="00B528B6"/>
    <w:rPr>
      <w:rFonts w:ascii="Times New Roman" w:eastAsia="Times New Roman" w:hAnsi="Times New Roman" w:cs="Times New Roman"/>
      <w:bCs/>
      <w:spacing w:val="-3"/>
      <w:sz w:val="24"/>
      <w:szCs w:val="24"/>
    </w:rPr>
  </w:style>
  <w:style w:type="paragraph" w:styleId="BalloonText">
    <w:name w:val="Balloon Text"/>
    <w:basedOn w:val="Normal"/>
    <w:link w:val="BalloonTextChar"/>
    <w:uiPriority w:val="99"/>
    <w:semiHidden/>
    <w:unhideWhenUsed/>
    <w:rsid w:val="00B528B6"/>
    <w:rPr>
      <w:rFonts w:ascii="Tahoma" w:hAnsi="Tahoma" w:cs="Tahoma"/>
      <w:sz w:val="16"/>
      <w:szCs w:val="16"/>
    </w:rPr>
  </w:style>
  <w:style w:type="character" w:customStyle="1" w:styleId="BalloonTextChar">
    <w:name w:val="Balloon Text Char"/>
    <w:basedOn w:val="DefaultParagraphFont"/>
    <w:link w:val="BalloonText"/>
    <w:uiPriority w:val="99"/>
    <w:semiHidden/>
    <w:rsid w:val="00B528B6"/>
    <w:rPr>
      <w:rFonts w:ascii="Tahoma" w:eastAsia="Times New Roman" w:hAnsi="Tahoma" w:cs="Tahoma"/>
      <w:bCs/>
      <w:spacing w:val="-3"/>
      <w:sz w:val="16"/>
      <w:szCs w:val="16"/>
    </w:rPr>
  </w:style>
  <w:style w:type="character" w:styleId="Hyperlink">
    <w:name w:val="Hyperlink"/>
    <w:basedOn w:val="DefaultParagraphFont"/>
    <w:uiPriority w:val="99"/>
    <w:unhideWhenUsed/>
    <w:rsid w:val="00690FD7"/>
    <w:rPr>
      <w:color w:val="0000FF" w:themeColor="hyperlink"/>
      <w:u w:val="single"/>
    </w:rPr>
  </w:style>
  <w:style w:type="paragraph" w:styleId="FootnoteText">
    <w:name w:val="footnote text"/>
    <w:basedOn w:val="Normal"/>
    <w:link w:val="FootnoteTextChar"/>
    <w:uiPriority w:val="99"/>
    <w:semiHidden/>
    <w:unhideWhenUsed/>
    <w:rsid w:val="00833B3A"/>
    <w:rPr>
      <w:sz w:val="20"/>
      <w:szCs w:val="20"/>
    </w:rPr>
  </w:style>
  <w:style w:type="character" w:customStyle="1" w:styleId="FootnoteTextChar">
    <w:name w:val="Footnote Text Char"/>
    <w:basedOn w:val="DefaultParagraphFont"/>
    <w:link w:val="FootnoteText"/>
    <w:uiPriority w:val="99"/>
    <w:semiHidden/>
    <w:rsid w:val="00833B3A"/>
    <w:rPr>
      <w:rFonts w:ascii="Times New Roman" w:eastAsia="Times New Roman" w:hAnsi="Times New Roman" w:cs="Times New Roman"/>
      <w:bCs/>
      <w:spacing w:val="-3"/>
      <w:sz w:val="20"/>
      <w:szCs w:val="20"/>
    </w:rPr>
  </w:style>
  <w:style w:type="character" w:styleId="FootnoteReference">
    <w:name w:val="footnote reference"/>
    <w:basedOn w:val="DefaultParagraphFont"/>
    <w:uiPriority w:val="99"/>
    <w:semiHidden/>
    <w:unhideWhenUsed/>
    <w:rsid w:val="00833B3A"/>
    <w:rPr>
      <w:vertAlign w:val="superscript"/>
    </w:rPr>
  </w:style>
  <w:style w:type="paragraph" w:styleId="ListParagraph">
    <w:name w:val="List Paragraph"/>
    <w:basedOn w:val="Normal"/>
    <w:uiPriority w:val="34"/>
    <w:qFormat/>
    <w:rsid w:val="00B45767"/>
    <w:pPr>
      <w:ind w:left="720"/>
      <w:contextualSpacing/>
    </w:pPr>
  </w:style>
  <w:style w:type="character" w:styleId="FollowedHyperlink">
    <w:name w:val="FollowedHyperlink"/>
    <w:basedOn w:val="DefaultParagraphFont"/>
    <w:uiPriority w:val="99"/>
    <w:semiHidden/>
    <w:unhideWhenUsed/>
    <w:rsid w:val="00A76C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D54"/>
    <w:pPr>
      <w:spacing w:after="0" w:line="240" w:lineRule="auto"/>
    </w:pPr>
    <w:rPr>
      <w:rFonts w:ascii="Times New Roman" w:eastAsia="Times New Roman" w:hAnsi="Times New Roman" w:cs="Times New Roman"/>
      <w:bCs/>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EDD"/>
    <w:pPr>
      <w:spacing w:after="0" w:line="240" w:lineRule="auto"/>
    </w:pPr>
  </w:style>
  <w:style w:type="paragraph" w:styleId="Title">
    <w:name w:val="Title"/>
    <w:basedOn w:val="Normal"/>
    <w:link w:val="TitleChar"/>
    <w:qFormat/>
    <w:rsid w:val="00B528B6"/>
    <w:pPr>
      <w:jc w:val="center"/>
    </w:pPr>
    <w:rPr>
      <w:rFonts w:ascii="Arial" w:hAnsi="Arial"/>
      <w:b/>
      <w:spacing w:val="0"/>
      <w:sz w:val="22"/>
      <w:szCs w:val="20"/>
    </w:rPr>
  </w:style>
  <w:style w:type="character" w:customStyle="1" w:styleId="TitleChar">
    <w:name w:val="Title Char"/>
    <w:basedOn w:val="DefaultParagraphFont"/>
    <w:link w:val="Title"/>
    <w:rsid w:val="00B528B6"/>
    <w:rPr>
      <w:rFonts w:ascii="Arial" w:eastAsia="Times New Roman" w:hAnsi="Arial" w:cs="Times New Roman"/>
      <w:b/>
      <w:bCs/>
      <w:szCs w:val="20"/>
    </w:rPr>
  </w:style>
  <w:style w:type="paragraph" w:styleId="Header">
    <w:name w:val="header"/>
    <w:basedOn w:val="Normal"/>
    <w:link w:val="HeaderChar"/>
    <w:uiPriority w:val="99"/>
    <w:unhideWhenUsed/>
    <w:rsid w:val="00B528B6"/>
    <w:pPr>
      <w:tabs>
        <w:tab w:val="center" w:pos="4680"/>
        <w:tab w:val="right" w:pos="9360"/>
      </w:tabs>
    </w:pPr>
  </w:style>
  <w:style w:type="character" w:customStyle="1" w:styleId="HeaderChar">
    <w:name w:val="Header Char"/>
    <w:basedOn w:val="DefaultParagraphFont"/>
    <w:link w:val="Header"/>
    <w:uiPriority w:val="99"/>
    <w:rsid w:val="00B528B6"/>
    <w:rPr>
      <w:rFonts w:ascii="Times New Roman" w:eastAsia="Times New Roman" w:hAnsi="Times New Roman" w:cs="Times New Roman"/>
      <w:bCs/>
      <w:spacing w:val="-3"/>
      <w:sz w:val="24"/>
      <w:szCs w:val="24"/>
    </w:rPr>
  </w:style>
  <w:style w:type="paragraph" w:styleId="Footer">
    <w:name w:val="footer"/>
    <w:basedOn w:val="Normal"/>
    <w:link w:val="FooterChar"/>
    <w:uiPriority w:val="99"/>
    <w:unhideWhenUsed/>
    <w:rsid w:val="00B528B6"/>
    <w:pPr>
      <w:tabs>
        <w:tab w:val="center" w:pos="4680"/>
        <w:tab w:val="right" w:pos="9360"/>
      </w:tabs>
    </w:pPr>
  </w:style>
  <w:style w:type="character" w:customStyle="1" w:styleId="FooterChar">
    <w:name w:val="Footer Char"/>
    <w:basedOn w:val="DefaultParagraphFont"/>
    <w:link w:val="Footer"/>
    <w:uiPriority w:val="99"/>
    <w:rsid w:val="00B528B6"/>
    <w:rPr>
      <w:rFonts w:ascii="Times New Roman" w:eastAsia="Times New Roman" w:hAnsi="Times New Roman" w:cs="Times New Roman"/>
      <w:bCs/>
      <w:spacing w:val="-3"/>
      <w:sz w:val="24"/>
      <w:szCs w:val="24"/>
    </w:rPr>
  </w:style>
  <w:style w:type="paragraph" w:styleId="BalloonText">
    <w:name w:val="Balloon Text"/>
    <w:basedOn w:val="Normal"/>
    <w:link w:val="BalloonTextChar"/>
    <w:uiPriority w:val="99"/>
    <w:semiHidden/>
    <w:unhideWhenUsed/>
    <w:rsid w:val="00B528B6"/>
    <w:rPr>
      <w:rFonts w:ascii="Tahoma" w:hAnsi="Tahoma" w:cs="Tahoma"/>
      <w:sz w:val="16"/>
      <w:szCs w:val="16"/>
    </w:rPr>
  </w:style>
  <w:style w:type="character" w:customStyle="1" w:styleId="BalloonTextChar">
    <w:name w:val="Balloon Text Char"/>
    <w:basedOn w:val="DefaultParagraphFont"/>
    <w:link w:val="BalloonText"/>
    <w:uiPriority w:val="99"/>
    <w:semiHidden/>
    <w:rsid w:val="00B528B6"/>
    <w:rPr>
      <w:rFonts w:ascii="Tahoma" w:eastAsia="Times New Roman" w:hAnsi="Tahoma" w:cs="Tahoma"/>
      <w:bCs/>
      <w:spacing w:val="-3"/>
      <w:sz w:val="16"/>
      <w:szCs w:val="16"/>
    </w:rPr>
  </w:style>
  <w:style w:type="character" w:styleId="Hyperlink">
    <w:name w:val="Hyperlink"/>
    <w:basedOn w:val="DefaultParagraphFont"/>
    <w:uiPriority w:val="99"/>
    <w:unhideWhenUsed/>
    <w:rsid w:val="00690FD7"/>
    <w:rPr>
      <w:color w:val="0000FF" w:themeColor="hyperlink"/>
      <w:u w:val="single"/>
    </w:rPr>
  </w:style>
  <w:style w:type="paragraph" w:styleId="FootnoteText">
    <w:name w:val="footnote text"/>
    <w:basedOn w:val="Normal"/>
    <w:link w:val="FootnoteTextChar"/>
    <w:uiPriority w:val="99"/>
    <w:semiHidden/>
    <w:unhideWhenUsed/>
    <w:rsid w:val="00833B3A"/>
    <w:rPr>
      <w:sz w:val="20"/>
      <w:szCs w:val="20"/>
    </w:rPr>
  </w:style>
  <w:style w:type="character" w:customStyle="1" w:styleId="FootnoteTextChar">
    <w:name w:val="Footnote Text Char"/>
    <w:basedOn w:val="DefaultParagraphFont"/>
    <w:link w:val="FootnoteText"/>
    <w:uiPriority w:val="99"/>
    <w:semiHidden/>
    <w:rsid w:val="00833B3A"/>
    <w:rPr>
      <w:rFonts w:ascii="Times New Roman" w:eastAsia="Times New Roman" w:hAnsi="Times New Roman" w:cs="Times New Roman"/>
      <w:bCs/>
      <w:spacing w:val="-3"/>
      <w:sz w:val="20"/>
      <w:szCs w:val="20"/>
    </w:rPr>
  </w:style>
  <w:style w:type="character" w:styleId="FootnoteReference">
    <w:name w:val="footnote reference"/>
    <w:basedOn w:val="DefaultParagraphFont"/>
    <w:uiPriority w:val="99"/>
    <w:semiHidden/>
    <w:unhideWhenUsed/>
    <w:rsid w:val="00833B3A"/>
    <w:rPr>
      <w:vertAlign w:val="superscript"/>
    </w:rPr>
  </w:style>
  <w:style w:type="paragraph" w:styleId="ListParagraph">
    <w:name w:val="List Paragraph"/>
    <w:basedOn w:val="Normal"/>
    <w:uiPriority w:val="34"/>
    <w:qFormat/>
    <w:rsid w:val="00B45767"/>
    <w:pPr>
      <w:ind w:left="720"/>
      <w:contextualSpacing/>
    </w:pPr>
  </w:style>
  <w:style w:type="character" w:styleId="FollowedHyperlink">
    <w:name w:val="FollowedHyperlink"/>
    <w:basedOn w:val="DefaultParagraphFont"/>
    <w:uiPriority w:val="99"/>
    <w:semiHidden/>
    <w:unhideWhenUsed/>
    <w:rsid w:val="00A76C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ealthcentercompliance.com/subscriber/pca-toolkit/volume-2/85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ealthcentercompliance.com/subscriber/pca-toolkit/volume-2/8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24CFC-4287-45BF-A81B-63B9CD928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Feldesman Tucker Leifer Fidell LLP</Company>
  <LinksUpToDate>false</LinksUpToDate>
  <CharactersWithSpaces>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Falcone, Adam J.</dc:creator>
  <cp:lastModifiedBy>Waters, Nick</cp:lastModifiedBy>
  <cp:revision>3</cp:revision>
  <cp:lastPrinted>2015-11-09T15:12:00Z</cp:lastPrinted>
  <dcterms:created xsi:type="dcterms:W3CDTF">2015-11-09T15:12:00Z</dcterms:created>
  <dcterms:modified xsi:type="dcterms:W3CDTF">2016-08-26T16:52:00Z</dcterms:modified>
</cp:coreProperties>
</file>