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2" w:rsidRPr="00A3524B" w:rsidRDefault="004C4942" w:rsidP="00D50AD9">
      <w:pPr>
        <w:autoSpaceDE w:val="0"/>
        <w:autoSpaceDN w:val="0"/>
        <w:adjustRightInd w:val="0"/>
        <w:spacing w:before="11"/>
        <w:ind w:right="-20"/>
        <w:jc w:val="center"/>
        <w:rPr>
          <w:b/>
          <w:bCs w:val="0"/>
          <w:spacing w:val="0"/>
          <w:kern w:val="2"/>
          <w:sz w:val="32"/>
          <w:szCs w:val="32"/>
        </w:rPr>
      </w:pPr>
      <w:r w:rsidRPr="00A3524B">
        <w:rPr>
          <w:b/>
          <w:spacing w:val="0"/>
          <w:kern w:val="2"/>
          <w:sz w:val="32"/>
          <w:szCs w:val="32"/>
        </w:rPr>
        <w:t>Conducting the Federal Audit</w:t>
      </w:r>
      <w:r w:rsidR="005F3B6F" w:rsidRPr="00A3524B">
        <w:rPr>
          <w:b/>
          <w:spacing w:val="0"/>
          <w:kern w:val="2"/>
          <w:sz w:val="32"/>
          <w:szCs w:val="32"/>
        </w:rPr>
        <w:t>: Sample Policy and Procedure</w:t>
      </w:r>
      <w:r w:rsidRPr="00F16C34">
        <w:rPr>
          <w:rStyle w:val="FootnoteReference"/>
          <w:b/>
          <w:spacing w:val="0"/>
          <w:kern w:val="2"/>
        </w:rPr>
        <w:footnoteReference w:id="1"/>
      </w:r>
    </w:p>
    <w:p w:rsidR="004C4942" w:rsidRPr="00A3524B" w:rsidRDefault="004C4942" w:rsidP="00D50AD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pacing w:val="0"/>
          <w:kern w:val="2"/>
        </w:rPr>
      </w:pPr>
    </w:p>
    <w:p w:rsidR="00E365AB" w:rsidRPr="00A3524B" w:rsidRDefault="00E365AB" w:rsidP="00D50AD9">
      <w:pPr>
        <w:jc w:val="both"/>
        <w:rPr>
          <w:spacing w:val="0"/>
          <w:kern w:val="2"/>
        </w:rPr>
      </w:pPr>
    </w:p>
    <w:p w:rsidR="00E365AB" w:rsidRPr="00A3524B" w:rsidRDefault="00E365AB" w:rsidP="00D50AD9">
      <w:pPr>
        <w:pStyle w:val="Heading1"/>
        <w:jc w:val="both"/>
        <w:rPr>
          <w:spacing w:val="0"/>
          <w:kern w:val="2"/>
          <w:sz w:val="24"/>
        </w:rPr>
      </w:pPr>
      <w:r w:rsidRPr="00A3524B">
        <w:rPr>
          <w:b/>
          <w:spacing w:val="0"/>
          <w:kern w:val="2"/>
          <w:sz w:val="24"/>
        </w:rPr>
        <w:t>Policy</w:t>
      </w:r>
      <w:r w:rsidR="004C4942" w:rsidRPr="00A3524B">
        <w:rPr>
          <w:b/>
          <w:spacing w:val="0"/>
          <w:kern w:val="2"/>
          <w:sz w:val="24"/>
        </w:rPr>
        <w:t>.</w:t>
      </w:r>
    </w:p>
    <w:p w:rsidR="00E365AB" w:rsidRPr="00A3524B" w:rsidRDefault="00E365AB" w:rsidP="00D50AD9">
      <w:pPr>
        <w:jc w:val="both"/>
        <w:rPr>
          <w:spacing w:val="0"/>
          <w:kern w:val="2"/>
        </w:rPr>
      </w:pPr>
    </w:p>
    <w:p w:rsidR="00E365AB" w:rsidRPr="00A3524B" w:rsidRDefault="00E365AB" w:rsidP="00D50AD9">
      <w:pPr>
        <w:jc w:val="both"/>
        <w:rPr>
          <w:spacing w:val="0"/>
          <w:kern w:val="2"/>
        </w:rPr>
      </w:pPr>
      <w:r w:rsidRPr="00A3524B">
        <w:rPr>
          <w:spacing w:val="0"/>
          <w:kern w:val="2"/>
        </w:rPr>
        <w:t xml:space="preserve">The </w:t>
      </w:r>
      <w:r w:rsidR="00DE5CEA" w:rsidRPr="00A3524B">
        <w:rPr>
          <w:i/>
          <w:spacing w:val="0"/>
          <w:kern w:val="2"/>
        </w:rPr>
        <w:t>[</w:t>
      </w:r>
      <w:r w:rsidR="002A140D">
        <w:rPr>
          <w:i/>
          <w:spacing w:val="0"/>
          <w:kern w:val="2"/>
        </w:rPr>
        <w:t>PCA-HCCN name</w:t>
      </w:r>
      <w:r w:rsidR="00DE5CEA" w:rsidRPr="00A3524B">
        <w:rPr>
          <w:i/>
          <w:spacing w:val="0"/>
          <w:kern w:val="2"/>
        </w:rPr>
        <w:t>]</w:t>
      </w:r>
      <w:r w:rsidR="002A140D">
        <w:rPr>
          <w:spacing w:val="0"/>
          <w:kern w:val="2"/>
        </w:rPr>
        <w:t xml:space="preserve"> (“PCA-HCCN</w:t>
      </w:r>
      <w:r w:rsidR="00DE5CEA" w:rsidRPr="00A3524B">
        <w:rPr>
          <w:spacing w:val="0"/>
          <w:kern w:val="2"/>
        </w:rPr>
        <w:t>”)</w:t>
      </w:r>
      <w:r w:rsidRPr="00A3524B">
        <w:rPr>
          <w:spacing w:val="0"/>
          <w:kern w:val="2"/>
        </w:rPr>
        <w:t xml:space="preserve"> is committed to ensuring that an independent audit is conducted annually,</w:t>
      </w:r>
      <w:r w:rsidR="004C4942" w:rsidRPr="00A3524B">
        <w:rPr>
          <w:spacing w:val="0"/>
          <w:kern w:val="2"/>
        </w:rPr>
        <w:t xml:space="preserve"> in accordance with applicable f</w:t>
      </w:r>
      <w:r w:rsidRPr="00A3524B">
        <w:rPr>
          <w:spacing w:val="0"/>
          <w:kern w:val="2"/>
        </w:rPr>
        <w:t>ederal laws, regulations and policies.</w:t>
      </w:r>
    </w:p>
    <w:p w:rsidR="00E365AB" w:rsidRPr="00A3524B" w:rsidRDefault="00E365AB" w:rsidP="00D50AD9">
      <w:pPr>
        <w:jc w:val="both"/>
        <w:rPr>
          <w:spacing w:val="0"/>
          <w:kern w:val="2"/>
        </w:rPr>
      </w:pPr>
      <w:r w:rsidRPr="00A3524B">
        <w:rPr>
          <w:spacing w:val="0"/>
          <w:kern w:val="2"/>
        </w:rPr>
        <w:t xml:space="preserve"> </w:t>
      </w:r>
    </w:p>
    <w:p w:rsidR="00E365AB" w:rsidRPr="00A3524B" w:rsidRDefault="00E365AB" w:rsidP="00D50AD9">
      <w:pPr>
        <w:jc w:val="both"/>
        <w:rPr>
          <w:spacing w:val="0"/>
          <w:kern w:val="2"/>
        </w:rPr>
      </w:pPr>
      <w:r w:rsidRPr="00A3524B">
        <w:rPr>
          <w:b/>
          <w:spacing w:val="0"/>
          <w:kern w:val="2"/>
        </w:rPr>
        <w:t>Procedure</w:t>
      </w:r>
      <w:r w:rsidR="004C4942" w:rsidRPr="00A3524B">
        <w:rPr>
          <w:b/>
          <w:spacing w:val="0"/>
          <w:kern w:val="2"/>
        </w:rPr>
        <w:t>.</w:t>
      </w:r>
      <w:r w:rsidR="007C7CCE" w:rsidRPr="0098236A">
        <w:rPr>
          <w:rStyle w:val="FootnoteReference"/>
          <w:spacing w:val="0"/>
          <w:kern w:val="2"/>
        </w:rPr>
        <w:footnoteReference w:id="2"/>
      </w:r>
    </w:p>
    <w:p w:rsidR="00E365AB" w:rsidRPr="00A3524B" w:rsidRDefault="00E365AB" w:rsidP="00D50AD9">
      <w:pPr>
        <w:jc w:val="both"/>
        <w:rPr>
          <w:spacing w:val="0"/>
          <w:kern w:val="2"/>
        </w:rPr>
      </w:pPr>
    </w:p>
    <w:p w:rsidR="00CE5E06" w:rsidRPr="00A3524B" w:rsidRDefault="00CE5E06" w:rsidP="00D50AD9">
      <w:pPr>
        <w:tabs>
          <w:tab w:val="left" w:pos="360"/>
        </w:tabs>
        <w:jc w:val="both"/>
        <w:rPr>
          <w:spacing w:val="0"/>
          <w:kern w:val="2"/>
        </w:rPr>
      </w:pPr>
      <w:r w:rsidRPr="00A3524B">
        <w:rPr>
          <w:b/>
          <w:spacing w:val="0"/>
          <w:kern w:val="2"/>
        </w:rPr>
        <w:t>1.</w:t>
      </w:r>
      <w:r w:rsidR="00D50AD9" w:rsidRPr="00A3524B">
        <w:rPr>
          <w:b/>
          <w:spacing w:val="0"/>
          <w:kern w:val="2"/>
        </w:rPr>
        <w:tab/>
      </w:r>
      <w:r w:rsidRPr="00A3524B">
        <w:rPr>
          <w:b/>
          <w:spacing w:val="0"/>
          <w:kern w:val="2"/>
        </w:rPr>
        <w:t xml:space="preserve">Establishment of </w:t>
      </w:r>
      <w:r w:rsidR="00DE5CEA" w:rsidRPr="00A3524B">
        <w:rPr>
          <w:b/>
          <w:spacing w:val="0"/>
          <w:kern w:val="2"/>
        </w:rPr>
        <w:t>a</w:t>
      </w:r>
      <w:r w:rsidRPr="00A3524B">
        <w:rPr>
          <w:b/>
          <w:spacing w:val="0"/>
          <w:kern w:val="2"/>
        </w:rPr>
        <w:t xml:space="preserve">udit </w:t>
      </w:r>
      <w:r w:rsidR="00DE5CEA" w:rsidRPr="00A3524B">
        <w:rPr>
          <w:b/>
          <w:spacing w:val="0"/>
          <w:kern w:val="2"/>
        </w:rPr>
        <w:t>c</w:t>
      </w:r>
      <w:r w:rsidRPr="00A3524B">
        <w:rPr>
          <w:b/>
          <w:spacing w:val="0"/>
          <w:kern w:val="2"/>
        </w:rPr>
        <w:t>ommittee.</w:t>
      </w:r>
      <w:r w:rsidRPr="00A3524B">
        <w:rPr>
          <w:spacing w:val="0"/>
          <w:kern w:val="2"/>
        </w:rPr>
        <w:t xml:space="preserve"> The governing body of </w:t>
      </w:r>
      <w:r w:rsidR="002A140D">
        <w:rPr>
          <w:spacing w:val="0"/>
          <w:kern w:val="2"/>
        </w:rPr>
        <w:t xml:space="preserve">PCA-HCCN </w:t>
      </w:r>
      <w:r w:rsidRPr="00A3524B">
        <w:rPr>
          <w:spacing w:val="0"/>
          <w:kern w:val="2"/>
        </w:rPr>
        <w:t>shall establish a committee (or a subcommittee of its Finance Committee) responsible for developing recommendations to the governing body of suitable independent audit firm(s) to engage</w:t>
      </w:r>
      <w:r w:rsidR="00AE747D" w:rsidRPr="00A3524B">
        <w:rPr>
          <w:spacing w:val="0"/>
          <w:kern w:val="2"/>
        </w:rPr>
        <w:t xml:space="preserve"> for the purposes of conducting an annual audit, and then coordinating and facilitating</w:t>
      </w:r>
      <w:r w:rsidR="00B52551" w:rsidRPr="00A3524B">
        <w:rPr>
          <w:spacing w:val="0"/>
          <w:kern w:val="2"/>
        </w:rPr>
        <w:t xml:space="preserve"> the performance of that audit.</w:t>
      </w:r>
      <w:r w:rsidR="00AE747D" w:rsidRPr="00A3524B">
        <w:rPr>
          <w:spacing w:val="0"/>
          <w:kern w:val="2"/>
        </w:rPr>
        <w:t xml:space="preserve"> The committee shall consist of </w:t>
      </w:r>
      <w:r w:rsidR="000E33D7">
        <w:rPr>
          <w:spacing w:val="0"/>
          <w:kern w:val="2"/>
        </w:rPr>
        <w:t>PCA-HCCN</w:t>
      </w:r>
      <w:r w:rsidR="00246088" w:rsidRPr="00A3524B">
        <w:rPr>
          <w:spacing w:val="0"/>
          <w:kern w:val="2"/>
        </w:rPr>
        <w:t>’s</w:t>
      </w:r>
      <w:r w:rsidR="00AE747D" w:rsidRPr="00A3524B">
        <w:rPr>
          <w:spacing w:val="0"/>
          <w:kern w:val="2"/>
        </w:rPr>
        <w:t xml:space="preserve"> treasurer and no fewer than two additional directors/trustees.</w:t>
      </w:r>
      <w:r w:rsidR="00E207BF" w:rsidRPr="00A3524B">
        <w:rPr>
          <w:spacing w:val="0"/>
          <w:kern w:val="2"/>
        </w:rPr>
        <w:t xml:space="preserve"> All members must be familiar with the nature and scope of </w:t>
      </w:r>
      <w:r w:rsidR="000E33D7">
        <w:rPr>
          <w:spacing w:val="0"/>
          <w:kern w:val="2"/>
        </w:rPr>
        <w:t>PCA-HCCN</w:t>
      </w:r>
      <w:r w:rsidR="00E207BF" w:rsidRPr="00A3524B">
        <w:rPr>
          <w:spacing w:val="0"/>
          <w:kern w:val="2"/>
        </w:rPr>
        <w:t>’s operations, its sources of funding</w:t>
      </w:r>
      <w:r w:rsidR="00EB7470" w:rsidRPr="00A3524B">
        <w:rPr>
          <w:spacing w:val="0"/>
          <w:kern w:val="2"/>
        </w:rPr>
        <w:t xml:space="preserve">, and </w:t>
      </w:r>
      <w:r w:rsidR="004C4942" w:rsidRPr="00A3524B">
        <w:rPr>
          <w:spacing w:val="0"/>
          <w:kern w:val="2"/>
        </w:rPr>
        <w:t>the f</w:t>
      </w:r>
      <w:r w:rsidR="00160205" w:rsidRPr="00A3524B">
        <w:rPr>
          <w:spacing w:val="0"/>
          <w:kern w:val="2"/>
        </w:rPr>
        <w:t>ederal independent audit process.</w:t>
      </w:r>
    </w:p>
    <w:p w:rsidR="00CE5E06" w:rsidRPr="00A3524B" w:rsidRDefault="00CE5E06" w:rsidP="00D50AD9">
      <w:pPr>
        <w:jc w:val="both"/>
        <w:rPr>
          <w:spacing w:val="0"/>
          <w:kern w:val="2"/>
        </w:rPr>
      </w:pPr>
    </w:p>
    <w:p w:rsidR="003D31D1" w:rsidRPr="00A3524B" w:rsidRDefault="00160205" w:rsidP="00D50AD9">
      <w:pPr>
        <w:tabs>
          <w:tab w:val="left" w:pos="360"/>
        </w:tabs>
        <w:jc w:val="both"/>
        <w:rPr>
          <w:spacing w:val="0"/>
          <w:kern w:val="2"/>
        </w:rPr>
      </w:pPr>
      <w:r w:rsidRPr="00A3524B">
        <w:rPr>
          <w:b/>
          <w:spacing w:val="0"/>
          <w:kern w:val="2"/>
        </w:rPr>
        <w:t>2</w:t>
      </w:r>
      <w:r w:rsidR="00E365AB" w:rsidRPr="00A3524B">
        <w:rPr>
          <w:b/>
          <w:spacing w:val="0"/>
          <w:kern w:val="2"/>
        </w:rPr>
        <w:t>.</w:t>
      </w:r>
      <w:r w:rsidR="00D50AD9" w:rsidRPr="00A3524B">
        <w:rPr>
          <w:b/>
          <w:spacing w:val="0"/>
          <w:kern w:val="2"/>
        </w:rPr>
        <w:tab/>
      </w:r>
      <w:r w:rsidRPr="00A3524B">
        <w:rPr>
          <w:b/>
          <w:spacing w:val="0"/>
          <w:kern w:val="2"/>
        </w:rPr>
        <w:t xml:space="preserve">Selection of </w:t>
      </w:r>
      <w:r w:rsidR="00246088" w:rsidRPr="00A3524B">
        <w:rPr>
          <w:b/>
          <w:spacing w:val="0"/>
          <w:kern w:val="2"/>
        </w:rPr>
        <w:t>a</w:t>
      </w:r>
      <w:r w:rsidRPr="00A3524B">
        <w:rPr>
          <w:b/>
          <w:spacing w:val="0"/>
          <w:kern w:val="2"/>
        </w:rPr>
        <w:t xml:space="preserve">udit </w:t>
      </w:r>
      <w:r w:rsidR="00246088" w:rsidRPr="00A3524B">
        <w:rPr>
          <w:b/>
          <w:spacing w:val="0"/>
          <w:kern w:val="2"/>
        </w:rPr>
        <w:t>f</w:t>
      </w:r>
      <w:r w:rsidRPr="00A3524B">
        <w:rPr>
          <w:b/>
          <w:spacing w:val="0"/>
          <w:kern w:val="2"/>
        </w:rPr>
        <w:t>irm</w:t>
      </w:r>
      <w:r w:rsidR="00E365AB" w:rsidRPr="00A3524B">
        <w:rPr>
          <w:b/>
          <w:spacing w:val="0"/>
          <w:kern w:val="2"/>
        </w:rPr>
        <w:t>.</w:t>
      </w:r>
      <w:r w:rsidR="00E365AB" w:rsidRPr="00A3524B">
        <w:rPr>
          <w:spacing w:val="0"/>
          <w:kern w:val="2"/>
        </w:rPr>
        <w:t xml:space="preserve"> </w:t>
      </w:r>
      <w:r w:rsidR="000E33D7">
        <w:rPr>
          <w:spacing w:val="0"/>
          <w:kern w:val="2"/>
        </w:rPr>
        <w:t>PCA-HCCN</w:t>
      </w:r>
      <w:r w:rsidRPr="00A3524B">
        <w:rPr>
          <w:spacing w:val="0"/>
          <w:kern w:val="2"/>
        </w:rPr>
        <w:t xml:space="preserve"> shall solicit proposals to provide independent audit services from qualified audit</w:t>
      </w:r>
      <w:r w:rsidR="00B52551" w:rsidRPr="00A3524B">
        <w:rPr>
          <w:spacing w:val="0"/>
          <w:kern w:val="2"/>
        </w:rPr>
        <w:t xml:space="preserve"> firms.</w:t>
      </w:r>
      <w:r w:rsidRPr="00A3524B">
        <w:rPr>
          <w:spacing w:val="0"/>
          <w:kern w:val="2"/>
        </w:rPr>
        <w:t xml:space="preserve"> The criteria for selection shall be set by the audit</w:t>
      </w:r>
      <w:r w:rsidR="003D31D1" w:rsidRPr="00A3524B">
        <w:rPr>
          <w:spacing w:val="0"/>
          <w:kern w:val="2"/>
        </w:rPr>
        <w:t xml:space="preserve"> </w:t>
      </w:r>
      <w:r w:rsidRPr="00A3524B">
        <w:rPr>
          <w:spacing w:val="0"/>
          <w:kern w:val="2"/>
        </w:rPr>
        <w:t xml:space="preserve">committee and will ensure that </w:t>
      </w:r>
      <w:r w:rsidR="00B52551" w:rsidRPr="00A3524B">
        <w:rPr>
          <w:spacing w:val="0"/>
          <w:kern w:val="2"/>
        </w:rPr>
        <w:t>the audit is conducted consistent with</w:t>
      </w:r>
      <w:r w:rsidR="00E365AB" w:rsidRPr="00A3524B">
        <w:rPr>
          <w:spacing w:val="0"/>
          <w:kern w:val="2"/>
        </w:rPr>
        <w:t xml:space="preserve"> the requirements of </w:t>
      </w:r>
      <w:r w:rsidR="001E3E2D" w:rsidRPr="00A3524B">
        <w:rPr>
          <w:spacing w:val="0"/>
          <w:kern w:val="2"/>
        </w:rPr>
        <w:t>4</w:t>
      </w:r>
      <w:r w:rsidR="00D22EF8" w:rsidRPr="00A3524B">
        <w:rPr>
          <w:spacing w:val="0"/>
          <w:kern w:val="2"/>
        </w:rPr>
        <w:t>5 C.F.R.</w:t>
      </w:r>
      <w:r w:rsidR="003479B7">
        <w:rPr>
          <w:spacing w:val="0"/>
          <w:kern w:val="2"/>
        </w:rPr>
        <w:t xml:space="preserve"> </w:t>
      </w:r>
      <w:r w:rsidR="001E3E2D" w:rsidRPr="00A3524B">
        <w:rPr>
          <w:spacing w:val="0"/>
          <w:kern w:val="2"/>
        </w:rPr>
        <w:t>Part 75 Subpart F and the applicable</w:t>
      </w:r>
      <w:r w:rsidR="00D22EF8" w:rsidRPr="00A3524B">
        <w:rPr>
          <w:spacing w:val="0"/>
          <w:kern w:val="2"/>
        </w:rPr>
        <w:t xml:space="preserve"> </w:t>
      </w:r>
      <w:r w:rsidR="00E365AB" w:rsidRPr="00A3524B">
        <w:rPr>
          <w:spacing w:val="0"/>
          <w:kern w:val="2"/>
        </w:rPr>
        <w:t>OMB Circular A-133 compliance supplement</w:t>
      </w:r>
      <w:r w:rsidR="00B52551" w:rsidRPr="00A3524B">
        <w:rPr>
          <w:spacing w:val="0"/>
          <w:kern w:val="2"/>
        </w:rPr>
        <w:t>(s)</w:t>
      </w:r>
      <w:r w:rsidR="00E365AB" w:rsidRPr="00A3524B">
        <w:rPr>
          <w:spacing w:val="0"/>
          <w:kern w:val="2"/>
        </w:rPr>
        <w:t xml:space="preserve"> for </w:t>
      </w:r>
      <w:r w:rsidR="004C4942" w:rsidRPr="00A3524B">
        <w:rPr>
          <w:spacing w:val="0"/>
          <w:kern w:val="2"/>
        </w:rPr>
        <w:t>the f</w:t>
      </w:r>
      <w:r w:rsidR="00B52551" w:rsidRPr="00A3524B">
        <w:rPr>
          <w:spacing w:val="0"/>
          <w:kern w:val="2"/>
        </w:rPr>
        <w:t xml:space="preserve">ederal financial assistance program(s) in which </w:t>
      </w:r>
      <w:r w:rsidR="000E33D7">
        <w:rPr>
          <w:spacing w:val="0"/>
          <w:kern w:val="2"/>
        </w:rPr>
        <w:t>PCA-HCCN</w:t>
      </w:r>
      <w:r w:rsidR="00B52551" w:rsidRPr="00A3524B">
        <w:rPr>
          <w:spacing w:val="0"/>
          <w:kern w:val="2"/>
        </w:rPr>
        <w:t xml:space="preserve"> participate</w:t>
      </w:r>
      <w:r w:rsidR="00694450" w:rsidRPr="00A3524B">
        <w:rPr>
          <w:spacing w:val="0"/>
          <w:kern w:val="2"/>
        </w:rPr>
        <w:t>s</w:t>
      </w:r>
      <w:r w:rsidR="00E365AB" w:rsidRPr="00A3524B">
        <w:rPr>
          <w:spacing w:val="0"/>
          <w:kern w:val="2"/>
        </w:rPr>
        <w:t xml:space="preserve">. </w:t>
      </w:r>
    </w:p>
    <w:p w:rsidR="003D31D1" w:rsidRPr="00A3524B" w:rsidRDefault="003D31D1" w:rsidP="00D50AD9">
      <w:pPr>
        <w:jc w:val="both"/>
        <w:rPr>
          <w:spacing w:val="0"/>
          <w:kern w:val="2"/>
        </w:rPr>
      </w:pPr>
    </w:p>
    <w:p w:rsidR="00015531" w:rsidRPr="00A3524B" w:rsidRDefault="000E33D7" w:rsidP="00D50AD9">
      <w:pPr>
        <w:jc w:val="both"/>
        <w:rPr>
          <w:spacing w:val="0"/>
          <w:kern w:val="2"/>
        </w:rPr>
      </w:pPr>
      <w:r>
        <w:rPr>
          <w:spacing w:val="0"/>
          <w:kern w:val="2"/>
        </w:rPr>
        <w:t>PCA-HCCN</w:t>
      </w:r>
      <w:r w:rsidR="00B52551" w:rsidRPr="00A3524B">
        <w:rPr>
          <w:spacing w:val="0"/>
          <w:kern w:val="2"/>
        </w:rPr>
        <w:t xml:space="preserve"> shall conduct the solicitation process according to its policies and procedures relating to the procurement of professional services. Upon receipt of proposals from interested audit firms, the audit</w:t>
      </w:r>
      <w:r w:rsidR="007C7CCE" w:rsidRPr="00A3524B">
        <w:rPr>
          <w:spacing w:val="0"/>
          <w:kern w:val="2"/>
        </w:rPr>
        <w:t xml:space="preserve"> </w:t>
      </w:r>
      <w:r w:rsidR="00B52551" w:rsidRPr="00A3524B">
        <w:rPr>
          <w:spacing w:val="0"/>
          <w:kern w:val="2"/>
        </w:rPr>
        <w:t>committee will review all responses, then provide them to the governing body as a whole</w:t>
      </w:r>
      <w:r w:rsidR="00015531" w:rsidRPr="00A3524B">
        <w:rPr>
          <w:spacing w:val="0"/>
          <w:kern w:val="2"/>
        </w:rPr>
        <w:t xml:space="preserve"> along with action recommendations. The governing body will make the final selection decision and will cause </w:t>
      </w:r>
      <w:r>
        <w:rPr>
          <w:spacing w:val="0"/>
          <w:kern w:val="2"/>
        </w:rPr>
        <w:t>PCA-HCCN</w:t>
      </w:r>
      <w:r w:rsidR="00015531" w:rsidRPr="00A3524B">
        <w:rPr>
          <w:spacing w:val="0"/>
          <w:kern w:val="2"/>
        </w:rPr>
        <w:t xml:space="preserve"> to enter into a contract for services with the selected audit firm.</w:t>
      </w:r>
    </w:p>
    <w:p w:rsidR="00015531" w:rsidRPr="00A3524B" w:rsidRDefault="00015531" w:rsidP="00D50AD9">
      <w:pPr>
        <w:jc w:val="both"/>
        <w:rPr>
          <w:spacing w:val="0"/>
          <w:kern w:val="2"/>
        </w:rPr>
      </w:pPr>
    </w:p>
    <w:p w:rsidR="00E365AB" w:rsidRPr="00A3524B" w:rsidRDefault="00015531" w:rsidP="00D50AD9">
      <w:pPr>
        <w:tabs>
          <w:tab w:val="left" w:pos="360"/>
        </w:tabs>
        <w:jc w:val="both"/>
        <w:rPr>
          <w:spacing w:val="0"/>
          <w:kern w:val="2"/>
        </w:rPr>
      </w:pPr>
      <w:r w:rsidRPr="00A3524B">
        <w:rPr>
          <w:b/>
          <w:spacing w:val="0"/>
          <w:kern w:val="2"/>
        </w:rPr>
        <w:t>3.</w:t>
      </w:r>
      <w:r w:rsidR="00D50AD9" w:rsidRPr="00A3524B">
        <w:rPr>
          <w:b/>
          <w:spacing w:val="0"/>
          <w:kern w:val="2"/>
        </w:rPr>
        <w:tab/>
      </w:r>
      <w:r w:rsidRPr="00A3524B">
        <w:rPr>
          <w:b/>
          <w:spacing w:val="0"/>
          <w:kern w:val="2"/>
        </w:rPr>
        <w:t xml:space="preserve">Scope of </w:t>
      </w:r>
      <w:r w:rsidR="0080546C" w:rsidRPr="00A3524B">
        <w:rPr>
          <w:b/>
          <w:spacing w:val="0"/>
          <w:kern w:val="2"/>
        </w:rPr>
        <w:t>a</w:t>
      </w:r>
      <w:r w:rsidRPr="00A3524B">
        <w:rPr>
          <w:b/>
          <w:spacing w:val="0"/>
          <w:kern w:val="2"/>
        </w:rPr>
        <w:t>udit.</w:t>
      </w:r>
      <w:r w:rsidR="00B52551" w:rsidRPr="00A3524B">
        <w:rPr>
          <w:spacing w:val="0"/>
          <w:kern w:val="2"/>
        </w:rPr>
        <w:t xml:space="preserve"> </w:t>
      </w:r>
      <w:r w:rsidR="00E365AB" w:rsidRPr="00A3524B">
        <w:rPr>
          <w:spacing w:val="0"/>
          <w:kern w:val="2"/>
        </w:rPr>
        <w:t>The scope of the audit will</w:t>
      </w:r>
      <w:r w:rsidRPr="00A3524B">
        <w:rPr>
          <w:spacing w:val="0"/>
          <w:kern w:val="2"/>
        </w:rPr>
        <w:t xml:space="preserve"> include</w:t>
      </w:r>
      <w:r w:rsidR="00E365AB" w:rsidRPr="00A3524B">
        <w:rPr>
          <w:spacing w:val="0"/>
          <w:kern w:val="2"/>
        </w:rPr>
        <w:t>:</w:t>
      </w:r>
    </w:p>
    <w:p w:rsidR="00E365AB" w:rsidRPr="00A3524B" w:rsidRDefault="00E365AB" w:rsidP="00D50AD9">
      <w:pPr>
        <w:jc w:val="both"/>
        <w:rPr>
          <w:spacing w:val="0"/>
          <w:kern w:val="2"/>
        </w:rPr>
      </w:pPr>
    </w:p>
    <w:p w:rsidR="000D2085" w:rsidRPr="00A3524B" w:rsidRDefault="00E365AB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t xml:space="preserve">A determination </w:t>
      </w:r>
      <w:r w:rsidR="00015531" w:rsidRPr="00A3524B">
        <w:rPr>
          <w:spacing w:val="0"/>
          <w:kern w:val="2"/>
        </w:rPr>
        <w:t>whether</w:t>
      </w:r>
      <w:r w:rsidRPr="00A3524B">
        <w:rPr>
          <w:spacing w:val="0"/>
          <w:kern w:val="2"/>
        </w:rPr>
        <w:t xml:space="preserve"> financial statements are presented fairly in all material respects in conformity with </w:t>
      </w:r>
      <w:r w:rsidR="00015531" w:rsidRPr="00A3524B">
        <w:rPr>
          <w:spacing w:val="0"/>
          <w:kern w:val="2"/>
        </w:rPr>
        <w:t>generally-accepted accounting principles (“</w:t>
      </w:r>
      <w:r w:rsidRPr="00A3524B">
        <w:rPr>
          <w:spacing w:val="0"/>
          <w:kern w:val="2"/>
        </w:rPr>
        <w:t>GAAP</w:t>
      </w:r>
      <w:r w:rsidR="00015531" w:rsidRPr="00A3524B">
        <w:rPr>
          <w:spacing w:val="0"/>
          <w:kern w:val="2"/>
        </w:rPr>
        <w:t>”)</w:t>
      </w:r>
      <w:r w:rsidRPr="00A3524B">
        <w:rPr>
          <w:spacing w:val="0"/>
          <w:kern w:val="2"/>
        </w:rPr>
        <w:t xml:space="preserve">; </w:t>
      </w:r>
    </w:p>
    <w:p w:rsidR="000D2085" w:rsidRPr="00A3524B" w:rsidRDefault="00E365AB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lastRenderedPageBreak/>
        <w:t xml:space="preserve">A review of internal controls over </w:t>
      </w:r>
      <w:r w:rsidR="004C4942" w:rsidRPr="00A3524B">
        <w:rPr>
          <w:spacing w:val="0"/>
          <w:kern w:val="2"/>
        </w:rPr>
        <w:t>f</w:t>
      </w:r>
      <w:r w:rsidRPr="00A3524B">
        <w:rPr>
          <w:spacing w:val="0"/>
          <w:kern w:val="2"/>
        </w:rPr>
        <w:t xml:space="preserve">ederal programs to </w:t>
      </w:r>
      <w:r w:rsidR="00015531" w:rsidRPr="00A3524B">
        <w:rPr>
          <w:spacing w:val="0"/>
          <w:kern w:val="2"/>
        </w:rPr>
        <w:t>assess the</w:t>
      </w:r>
      <w:r w:rsidRPr="00A3524B">
        <w:rPr>
          <w:spacing w:val="0"/>
          <w:kern w:val="2"/>
        </w:rPr>
        <w:t xml:space="preserve"> level of control r</w:t>
      </w:r>
      <w:r w:rsidR="00015531" w:rsidRPr="00A3524B">
        <w:rPr>
          <w:spacing w:val="0"/>
          <w:kern w:val="2"/>
        </w:rPr>
        <w:t>isk for major programs;</w:t>
      </w:r>
      <w:r w:rsidR="000D2085" w:rsidRPr="00A3524B">
        <w:rPr>
          <w:color w:val="000000"/>
          <w:spacing w:val="0"/>
          <w:kern w:val="2"/>
        </w:rPr>
        <w:t xml:space="preserve"> </w:t>
      </w:r>
    </w:p>
    <w:p w:rsidR="000D2085" w:rsidRPr="00A3524B" w:rsidRDefault="00E365AB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t xml:space="preserve">A determination as to whether </w:t>
      </w:r>
      <w:r w:rsidR="000E33D7">
        <w:rPr>
          <w:spacing w:val="0"/>
          <w:kern w:val="2"/>
        </w:rPr>
        <w:t>PCA-HCCN</w:t>
      </w:r>
      <w:r w:rsidRPr="00A3524B">
        <w:rPr>
          <w:spacing w:val="0"/>
          <w:kern w:val="2"/>
        </w:rPr>
        <w:t xml:space="preserve"> has complied with the applicable laws, regulations and the provisions of the grant agreements that could have a direct and material</w:t>
      </w:r>
      <w:r w:rsidR="004C4942" w:rsidRPr="00A3524B">
        <w:rPr>
          <w:spacing w:val="0"/>
          <w:kern w:val="2"/>
        </w:rPr>
        <w:t xml:space="preserve"> effect on the f</w:t>
      </w:r>
      <w:r w:rsidR="00015531" w:rsidRPr="00A3524B">
        <w:rPr>
          <w:spacing w:val="0"/>
          <w:kern w:val="2"/>
        </w:rPr>
        <w:t>ederal programs; and</w:t>
      </w:r>
    </w:p>
    <w:p w:rsidR="000D2085" w:rsidRPr="00A3524B" w:rsidRDefault="00015531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t>All other elem</w:t>
      </w:r>
      <w:r w:rsidR="004C4942" w:rsidRPr="00A3524B">
        <w:rPr>
          <w:spacing w:val="0"/>
          <w:kern w:val="2"/>
        </w:rPr>
        <w:t>ents required under applicable f</w:t>
      </w:r>
      <w:r w:rsidRPr="00A3524B">
        <w:rPr>
          <w:spacing w:val="0"/>
          <w:kern w:val="2"/>
        </w:rPr>
        <w:t xml:space="preserve">ederal laws, regulations and policies, including, but not limited to, </w:t>
      </w:r>
      <w:r w:rsidR="0039226E" w:rsidRPr="00A3524B">
        <w:rPr>
          <w:spacing w:val="0"/>
          <w:kern w:val="2"/>
        </w:rPr>
        <w:t xml:space="preserve">45 C.F.R. Part 75 Subpart F and any relevant </w:t>
      </w:r>
      <w:r w:rsidRPr="00A3524B">
        <w:rPr>
          <w:spacing w:val="0"/>
          <w:kern w:val="2"/>
        </w:rPr>
        <w:t>OMB Circular A-133 compliance supplement(s).</w:t>
      </w:r>
      <w:r w:rsidR="00E365AB" w:rsidRPr="00A3524B">
        <w:rPr>
          <w:spacing w:val="0"/>
          <w:kern w:val="2"/>
        </w:rPr>
        <w:t xml:space="preserve"> </w:t>
      </w:r>
    </w:p>
    <w:p w:rsidR="00E365AB" w:rsidRPr="00A3524B" w:rsidRDefault="00E365AB" w:rsidP="00D50AD9">
      <w:pPr>
        <w:tabs>
          <w:tab w:val="left" w:pos="-1440"/>
          <w:tab w:val="left" w:pos="90"/>
          <w:tab w:val="left" w:pos="720"/>
        </w:tabs>
        <w:ind w:left="720"/>
        <w:jc w:val="both"/>
        <w:rPr>
          <w:spacing w:val="0"/>
          <w:kern w:val="2"/>
        </w:rPr>
      </w:pPr>
    </w:p>
    <w:p w:rsidR="00E365AB" w:rsidRPr="00A3524B" w:rsidRDefault="00015531" w:rsidP="00A3524B">
      <w:pPr>
        <w:pStyle w:val="BodyText"/>
        <w:tabs>
          <w:tab w:val="left" w:pos="-1440"/>
          <w:tab w:val="left" w:pos="360"/>
          <w:tab w:val="left" w:pos="720"/>
        </w:tabs>
        <w:jc w:val="both"/>
        <w:rPr>
          <w:spacing w:val="0"/>
          <w:kern w:val="2"/>
          <w:sz w:val="24"/>
        </w:rPr>
      </w:pPr>
      <w:r w:rsidRPr="00A3524B">
        <w:rPr>
          <w:b/>
          <w:spacing w:val="0"/>
          <w:kern w:val="2"/>
          <w:sz w:val="24"/>
        </w:rPr>
        <w:t>4</w:t>
      </w:r>
      <w:r w:rsidR="00E365AB" w:rsidRPr="00A3524B">
        <w:rPr>
          <w:b/>
          <w:spacing w:val="0"/>
          <w:kern w:val="2"/>
          <w:sz w:val="24"/>
        </w:rPr>
        <w:t>.</w:t>
      </w:r>
      <w:r w:rsidR="00A3524B" w:rsidRPr="00A3524B">
        <w:rPr>
          <w:b/>
          <w:spacing w:val="0"/>
          <w:kern w:val="2"/>
          <w:sz w:val="24"/>
        </w:rPr>
        <w:tab/>
      </w:r>
      <w:r w:rsidR="00280D9C">
        <w:rPr>
          <w:b/>
          <w:spacing w:val="0"/>
          <w:kern w:val="2"/>
          <w:sz w:val="24"/>
        </w:rPr>
        <w:t>PCA-HCCN</w:t>
      </w:r>
      <w:r w:rsidR="00E365AB" w:rsidRPr="00A3524B">
        <w:rPr>
          <w:b/>
          <w:spacing w:val="0"/>
          <w:kern w:val="2"/>
          <w:sz w:val="24"/>
        </w:rPr>
        <w:t xml:space="preserve"> </w:t>
      </w:r>
      <w:r w:rsidR="00E11684" w:rsidRPr="00A3524B">
        <w:rPr>
          <w:b/>
          <w:spacing w:val="0"/>
          <w:kern w:val="2"/>
          <w:sz w:val="24"/>
        </w:rPr>
        <w:t>r</w:t>
      </w:r>
      <w:r w:rsidR="00E365AB" w:rsidRPr="00A3524B">
        <w:rPr>
          <w:b/>
          <w:spacing w:val="0"/>
          <w:kern w:val="2"/>
          <w:sz w:val="24"/>
        </w:rPr>
        <w:t>esponsibilities.</w:t>
      </w:r>
      <w:r w:rsidR="00E365AB" w:rsidRPr="00A3524B">
        <w:rPr>
          <w:spacing w:val="0"/>
          <w:kern w:val="2"/>
          <w:sz w:val="24"/>
        </w:rPr>
        <w:t xml:space="preserve"> </w:t>
      </w:r>
      <w:r w:rsidR="00872A33" w:rsidRPr="00A3524B">
        <w:rPr>
          <w:spacing w:val="0"/>
          <w:kern w:val="2"/>
          <w:sz w:val="24"/>
        </w:rPr>
        <w:t>The audit (sub)</w:t>
      </w:r>
      <w:r w:rsidR="007C7CCE" w:rsidRPr="00A3524B">
        <w:rPr>
          <w:spacing w:val="0"/>
          <w:kern w:val="2"/>
          <w:sz w:val="24"/>
        </w:rPr>
        <w:t xml:space="preserve"> </w:t>
      </w:r>
      <w:r w:rsidR="00872A33" w:rsidRPr="00A3524B">
        <w:rPr>
          <w:spacing w:val="0"/>
          <w:kern w:val="2"/>
          <w:sz w:val="24"/>
        </w:rPr>
        <w:t xml:space="preserve">committee will ensure that </w:t>
      </w:r>
      <w:r w:rsidR="00280D9C">
        <w:rPr>
          <w:spacing w:val="0"/>
          <w:kern w:val="2"/>
          <w:sz w:val="24"/>
        </w:rPr>
        <w:t>PCA-HCCN</w:t>
      </w:r>
      <w:r w:rsidR="00872A33" w:rsidRPr="00A3524B">
        <w:rPr>
          <w:spacing w:val="0"/>
          <w:kern w:val="2"/>
          <w:sz w:val="24"/>
        </w:rPr>
        <w:t>:</w:t>
      </w:r>
    </w:p>
    <w:p w:rsidR="00E365AB" w:rsidRPr="00A3524B" w:rsidRDefault="00E365AB" w:rsidP="00D50AD9">
      <w:pPr>
        <w:pStyle w:val="BodyText"/>
        <w:tabs>
          <w:tab w:val="left" w:pos="-1440"/>
          <w:tab w:val="left" w:pos="90"/>
        </w:tabs>
        <w:jc w:val="both"/>
        <w:rPr>
          <w:spacing w:val="0"/>
          <w:kern w:val="2"/>
          <w:sz w:val="24"/>
        </w:rPr>
      </w:pPr>
    </w:p>
    <w:p w:rsidR="000D2085" w:rsidRPr="00A3524B" w:rsidRDefault="00872A33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t>Timely makes available to the independent audit firm all financial books and records necessary for the auditors to determine the completeness and accuracy of those books and records;</w:t>
      </w:r>
      <w:r w:rsidR="000D2085" w:rsidRPr="00A3524B">
        <w:rPr>
          <w:color w:val="000000"/>
          <w:spacing w:val="0"/>
          <w:kern w:val="2"/>
        </w:rPr>
        <w:t xml:space="preserve"> </w:t>
      </w:r>
    </w:p>
    <w:p w:rsidR="000D2085" w:rsidRPr="00A3524B" w:rsidRDefault="00872A33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t>Timely makes available to the independent audit firm all records showing</w:t>
      </w:r>
      <w:r w:rsidR="004C4942" w:rsidRPr="00A3524B">
        <w:rPr>
          <w:spacing w:val="0"/>
          <w:kern w:val="2"/>
        </w:rPr>
        <w:t xml:space="preserve"> f</w:t>
      </w:r>
      <w:r w:rsidRPr="00A3524B">
        <w:rPr>
          <w:spacing w:val="0"/>
          <w:kern w:val="2"/>
        </w:rPr>
        <w:t>ederal awards received and expenditures under those</w:t>
      </w:r>
      <w:r w:rsidR="00BA5F37" w:rsidRPr="00A3524B">
        <w:rPr>
          <w:spacing w:val="0"/>
          <w:kern w:val="2"/>
        </w:rPr>
        <w:t xml:space="preserve"> f</w:t>
      </w:r>
      <w:r w:rsidRPr="00A3524B">
        <w:rPr>
          <w:spacing w:val="0"/>
          <w:kern w:val="2"/>
        </w:rPr>
        <w:t>ederal programs;</w:t>
      </w:r>
      <w:r w:rsidR="000D2085" w:rsidRPr="00A3524B">
        <w:rPr>
          <w:color w:val="000000"/>
          <w:spacing w:val="0"/>
          <w:kern w:val="2"/>
        </w:rPr>
        <w:t xml:space="preserve"> </w:t>
      </w:r>
    </w:p>
    <w:p w:rsidR="000D2085" w:rsidRPr="00A3524B" w:rsidRDefault="00872A33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t>Timely makes available to the independent audit firm all repo</w:t>
      </w:r>
      <w:r w:rsidR="004C4942" w:rsidRPr="00A3524B">
        <w:rPr>
          <w:spacing w:val="0"/>
          <w:kern w:val="2"/>
        </w:rPr>
        <w:t>rts of activities funded under f</w:t>
      </w:r>
      <w:r w:rsidRPr="00A3524B">
        <w:rPr>
          <w:spacing w:val="0"/>
          <w:kern w:val="2"/>
        </w:rPr>
        <w:t xml:space="preserve">ederal awards necessary for the auditors to determine </w:t>
      </w:r>
      <w:r w:rsidR="00280D9C">
        <w:rPr>
          <w:spacing w:val="0"/>
          <w:kern w:val="2"/>
        </w:rPr>
        <w:t>PCA-HCCN</w:t>
      </w:r>
      <w:r w:rsidRPr="00A3524B">
        <w:rPr>
          <w:spacing w:val="0"/>
          <w:kern w:val="2"/>
        </w:rPr>
        <w:t xml:space="preserve">’s compliance with </w:t>
      </w:r>
      <w:r w:rsidR="004C4942" w:rsidRPr="00A3524B">
        <w:rPr>
          <w:spacing w:val="0"/>
          <w:kern w:val="2"/>
        </w:rPr>
        <w:t>f</w:t>
      </w:r>
      <w:r w:rsidR="00DF386A" w:rsidRPr="00A3524B">
        <w:rPr>
          <w:spacing w:val="0"/>
          <w:kern w:val="2"/>
        </w:rPr>
        <w:t>ederal program requirements</w:t>
      </w:r>
      <w:r w:rsidRPr="00A3524B">
        <w:rPr>
          <w:spacing w:val="0"/>
          <w:kern w:val="2"/>
        </w:rPr>
        <w:t>;</w:t>
      </w:r>
      <w:r w:rsidR="00E365AB" w:rsidRPr="00A3524B">
        <w:rPr>
          <w:spacing w:val="0"/>
          <w:kern w:val="2"/>
        </w:rPr>
        <w:t xml:space="preserve"> and</w:t>
      </w:r>
    </w:p>
    <w:p w:rsidR="000D2085" w:rsidRPr="00A3524B" w:rsidRDefault="00E365AB" w:rsidP="00D50AD9">
      <w:pPr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color w:val="000000"/>
          <w:spacing w:val="0"/>
          <w:kern w:val="2"/>
        </w:rPr>
      </w:pPr>
      <w:r w:rsidRPr="00A3524B">
        <w:rPr>
          <w:spacing w:val="0"/>
          <w:kern w:val="2"/>
        </w:rPr>
        <w:t>As necessary, take</w:t>
      </w:r>
      <w:r w:rsidR="00DF386A" w:rsidRPr="00A3524B">
        <w:rPr>
          <w:spacing w:val="0"/>
          <w:kern w:val="2"/>
        </w:rPr>
        <w:t>s</w:t>
      </w:r>
      <w:r w:rsidRPr="00A3524B">
        <w:rPr>
          <w:spacing w:val="0"/>
          <w:kern w:val="2"/>
        </w:rPr>
        <w:t xml:space="preserve"> corrective action on audit findings. </w:t>
      </w:r>
    </w:p>
    <w:p w:rsidR="00E365AB" w:rsidRPr="00A3524B" w:rsidRDefault="00E365AB" w:rsidP="00D50AD9">
      <w:pPr>
        <w:pStyle w:val="BodyText"/>
        <w:tabs>
          <w:tab w:val="left" w:pos="-1440"/>
          <w:tab w:val="left" w:pos="90"/>
          <w:tab w:val="left" w:pos="720"/>
        </w:tabs>
        <w:ind w:left="720"/>
        <w:jc w:val="both"/>
        <w:rPr>
          <w:spacing w:val="0"/>
          <w:kern w:val="2"/>
          <w:sz w:val="24"/>
        </w:rPr>
      </w:pPr>
    </w:p>
    <w:p w:rsidR="00DF386A" w:rsidRPr="00A3524B" w:rsidRDefault="00DF386A" w:rsidP="00A3524B">
      <w:pPr>
        <w:pStyle w:val="BodyText"/>
        <w:tabs>
          <w:tab w:val="left" w:pos="-1440"/>
          <w:tab w:val="left" w:pos="360"/>
          <w:tab w:val="left" w:pos="720"/>
        </w:tabs>
        <w:jc w:val="both"/>
        <w:rPr>
          <w:spacing w:val="0"/>
          <w:kern w:val="2"/>
          <w:sz w:val="24"/>
        </w:rPr>
      </w:pPr>
      <w:r w:rsidRPr="00A3524B">
        <w:rPr>
          <w:b/>
          <w:spacing w:val="0"/>
          <w:kern w:val="2"/>
          <w:sz w:val="24"/>
        </w:rPr>
        <w:t>5.</w:t>
      </w:r>
      <w:r w:rsidR="00A3524B" w:rsidRPr="00A3524B">
        <w:rPr>
          <w:b/>
          <w:spacing w:val="0"/>
          <w:kern w:val="2"/>
          <w:sz w:val="24"/>
        </w:rPr>
        <w:tab/>
      </w:r>
      <w:r w:rsidRPr="00A3524B">
        <w:rPr>
          <w:b/>
          <w:spacing w:val="0"/>
          <w:kern w:val="2"/>
          <w:sz w:val="24"/>
        </w:rPr>
        <w:t xml:space="preserve">Audit </w:t>
      </w:r>
      <w:r w:rsidR="009B3947" w:rsidRPr="00A3524B">
        <w:rPr>
          <w:b/>
          <w:spacing w:val="0"/>
          <w:kern w:val="2"/>
          <w:sz w:val="24"/>
        </w:rPr>
        <w:t>r</w:t>
      </w:r>
      <w:r w:rsidRPr="00A3524B">
        <w:rPr>
          <w:b/>
          <w:spacing w:val="0"/>
          <w:kern w:val="2"/>
          <w:sz w:val="24"/>
        </w:rPr>
        <w:t>eport.</w:t>
      </w:r>
      <w:r w:rsidRPr="00A3524B">
        <w:rPr>
          <w:spacing w:val="0"/>
          <w:kern w:val="2"/>
          <w:sz w:val="24"/>
        </w:rPr>
        <w:t xml:space="preserve"> The independent audit firm shall present the draft and final audit reports to governing body as a whole.</w:t>
      </w:r>
      <w:r w:rsidR="009B3947" w:rsidRPr="00A3524B">
        <w:rPr>
          <w:spacing w:val="0"/>
          <w:kern w:val="2"/>
          <w:sz w:val="24"/>
        </w:rPr>
        <w:t xml:space="preserve"> </w:t>
      </w:r>
      <w:r w:rsidR="00280D9C">
        <w:rPr>
          <w:spacing w:val="0"/>
          <w:kern w:val="2"/>
          <w:sz w:val="24"/>
        </w:rPr>
        <w:t>PCA-HCCN</w:t>
      </w:r>
      <w:r w:rsidR="009B3947" w:rsidRPr="00A3524B">
        <w:rPr>
          <w:spacing w:val="0"/>
          <w:kern w:val="2"/>
          <w:sz w:val="24"/>
        </w:rPr>
        <w:t>’s</w:t>
      </w:r>
      <w:r w:rsidRPr="00A3524B">
        <w:rPr>
          <w:spacing w:val="0"/>
          <w:kern w:val="2"/>
          <w:sz w:val="24"/>
        </w:rPr>
        <w:t xml:space="preserve"> governing body shall, as appropriate, provide to the auditors responses to audit findings and recommendations, and prepare </w:t>
      </w:r>
      <w:r w:rsidR="00997F4F" w:rsidRPr="00A3524B">
        <w:rPr>
          <w:spacing w:val="0"/>
          <w:kern w:val="2"/>
          <w:sz w:val="24"/>
        </w:rPr>
        <w:t>any necessary corrective action plan(s) to address those findings and recommendations.</w:t>
      </w:r>
    </w:p>
    <w:p w:rsidR="00DF386A" w:rsidRPr="00A3524B" w:rsidRDefault="00DF386A" w:rsidP="00D50AD9">
      <w:pPr>
        <w:pStyle w:val="BodyText"/>
        <w:tabs>
          <w:tab w:val="left" w:pos="-1440"/>
          <w:tab w:val="left" w:pos="90"/>
          <w:tab w:val="left" w:pos="720"/>
        </w:tabs>
        <w:jc w:val="both"/>
        <w:rPr>
          <w:spacing w:val="0"/>
          <w:kern w:val="2"/>
          <w:sz w:val="24"/>
        </w:rPr>
      </w:pPr>
    </w:p>
    <w:p w:rsidR="00E365AB" w:rsidRPr="00A3524B" w:rsidRDefault="00997F4F" w:rsidP="00A3524B">
      <w:pPr>
        <w:pStyle w:val="BodyText"/>
        <w:tabs>
          <w:tab w:val="left" w:pos="-1440"/>
          <w:tab w:val="left" w:pos="360"/>
          <w:tab w:val="left" w:pos="720"/>
        </w:tabs>
        <w:jc w:val="both"/>
        <w:rPr>
          <w:spacing w:val="0"/>
          <w:kern w:val="2"/>
          <w:sz w:val="24"/>
        </w:rPr>
      </w:pPr>
      <w:r w:rsidRPr="00A3524B">
        <w:rPr>
          <w:b/>
          <w:spacing w:val="0"/>
          <w:kern w:val="2"/>
          <w:sz w:val="24"/>
        </w:rPr>
        <w:t>6</w:t>
      </w:r>
      <w:r w:rsidR="00E365AB" w:rsidRPr="00A3524B">
        <w:rPr>
          <w:b/>
          <w:spacing w:val="0"/>
          <w:kern w:val="2"/>
          <w:sz w:val="24"/>
        </w:rPr>
        <w:t>.</w:t>
      </w:r>
      <w:r w:rsidR="00A3524B" w:rsidRPr="00A3524B">
        <w:rPr>
          <w:b/>
          <w:spacing w:val="0"/>
          <w:kern w:val="2"/>
          <w:sz w:val="24"/>
        </w:rPr>
        <w:tab/>
      </w:r>
      <w:r w:rsidR="00E365AB" w:rsidRPr="00A3524B">
        <w:rPr>
          <w:b/>
          <w:spacing w:val="0"/>
          <w:kern w:val="2"/>
          <w:sz w:val="24"/>
        </w:rPr>
        <w:t xml:space="preserve">Non-audit </w:t>
      </w:r>
      <w:r w:rsidR="005A4D29" w:rsidRPr="00A3524B">
        <w:rPr>
          <w:b/>
          <w:spacing w:val="0"/>
          <w:kern w:val="2"/>
          <w:sz w:val="24"/>
        </w:rPr>
        <w:t>s</w:t>
      </w:r>
      <w:r w:rsidR="00E365AB" w:rsidRPr="00A3524B">
        <w:rPr>
          <w:b/>
          <w:spacing w:val="0"/>
          <w:kern w:val="2"/>
          <w:sz w:val="24"/>
        </w:rPr>
        <w:t>ervices.</w:t>
      </w:r>
      <w:r w:rsidR="00E365AB" w:rsidRPr="00A3524B">
        <w:rPr>
          <w:spacing w:val="0"/>
          <w:kern w:val="2"/>
          <w:sz w:val="24"/>
        </w:rPr>
        <w:t xml:space="preserve"> The </w:t>
      </w:r>
      <w:r w:rsidR="00280D9C">
        <w:rPr>
          <w:spacing w:val="0"/>
          <w:kern w:val="2"/>
          <w:sz w:val="24"/>
        </w:rPr>
        <w:t>PCA-HCCN</w:t>
      </w:r>
      <w:r w:rsidR="00E365AB" w:rsidRPr="00A3524B">
        <w:rPr>
          <w:spacing w:val="0"/>
          <w:kern w:val="2"/>
          <w:sz w:val="24"/>
        </w:rPr>
        <w:t xml:space="preserve"> understands and acknowledges that, consistent with</w:t>
      </w:r>
      <w:r w:rsidR="005A4D29" w:rsidRPr="00A3524B">
        <w:rPr>
          <w:spacing w:val="0"/>
          <w:kern w:val="2"/>
          <w:sz w:val="24"/>
        </w:rPr>
        <w:t xml:space="preserve"> the standards for</w:t>
      </w:r>
      <w:r w:rsidR="00E365AB" w:rsidRPr="00A3524B">
        <w:rPr>
          <w:spacing w:val="0"/>
          <w:kern w:val="2"/>
          <w:sz w:val="24"/>
        </w:rPr>
        <w:t xml:space="preserve"> auditor independenc</w:t>
      </w:r>
      <w:r w:rsidR="005A4D29" w:rsidRPr="00A3524B">
        <w:rPr>
          <w:spacing w:val="0"/>
          <w:kern w:val="2"/>
          <w:sz w:val="24"/>
        </w:rPr>
        <w:t>e,</w:t>
      </w:r>
      <w:r w:rsidR="00E365AB" w:rsidRPr="00A3524B">
        <w:rPr>
          <w:spacing w:val="0"/>
          <w:kern w:val="2"/>
          <w:sz w:val="24"/>
        </w:rPr>
        <w:t xml:space="preserve"> </w:t>
      </w:r>
      <w:r w:rsidR="005A4D29" w:rsidRPr="00A3524B">
        <w:rPr>
          <w:spacing w:val="0"/>
          <w:kern w:val="2"/>
          <w:sz w:val="24"/>
        </w:rPr>
        <w:t>the</w:t>
      </w:r>
      <w:r w:rsidR="00E365AB" w:rsidRPr="00A3524B">
        <w:rPr>
          <w:spacing w:val="0"/>
          <w:kern w:val="2"/>
          <w:sz w:val="24"/>
        </w:rPr>
        <w:t xml:space="preserve"> audit firm is precluded from performing both an </w:t>
      </w:r>
      <w:r w:rsidRPr="00A3524B">
        <w:rPr>
          <w:spacing w:val="0"/>
          <w:kern w:val="2"/>
          <w:sz w:val="24"/>
        </w:rPr>
        <w:t>independent</w:t>
      </w:r>
      <w:r w:rsidR="00E365AB" w:rsidRPr="00A3524B">
        <w:rPr>
          <w:spacing w:val="0"/>
          <w:kern w:val="2"/>
          <w:sz w:val="24"/>
        </w:rPr>
        <w:t xml:space="preserve"> audit </w:t>
      </w:r>
      <w:r w:rsidR="00E365AB" w:rsidRPr="00A3524B">
        <w:rPr>
          <w:i/>
          <w:spacing w:val="0"/>
          <w:kern w:val="2"/>
          <w:sz w:val="24"/>
        </w:rPr>
        <w:t>and</w:t>
      </w:r>
      <w:r w:rsidR="00E365AB" w:rsidRPr="00A3524B">
        <w:rPr>
          <w:spacing w:val="0"/>
          <w:kern w:val="2"/>
          <w:sz w:val="24"/>
        </w:rPr>
        <w:t xml:space="preserve"> providing certain non-audit management consulting services</w:t>
      </w:r>
      <w:r w:rsidR="00933D09" w:rsidRPr="00A3524B">
        <w:rPr>
          <w:spacing w:val="0"/>
          <w:kern w:val="2"/>
          <w:sz w:val="24"/>
        </w:rPr>
        <w:t>.</w:t>
      </w:r>
      <w:r w:rsidR="00E365AB" w:rsidRPr="00A3524B">
        <w:rPr>
          <w:spacing w:val="0"/>
          <w:kern w:val="2"/>
          <w:sz w:val="24"/>
        </w:rPr>
        <w:t xml:space="preserve"> If </w:t>
      </w:r>
      <w:r w:rsidR="00280D9C">
        <w:rPr>
          <w:spacing w:val="0"/>
          <w:kern w:val="2"/>
          <w:sz w:val="24"/>
        </w:rPr>
        <w:t>PCA-HCCN</w:t>
      </w:r>
      <w:r w:rsidR="00E365AB" w:rsidRPr="00A3524B">
        <w:rPr>
          <w:spacing w:val="0"/>
          <w:kern w:val="2"/>
          <w:sz w:val="24"/>
        </w:rPr>
        <w:t xml:space="preserve"> desires to procure non-audit services f</w:t>
      </w:r>
      <w:r w:rsidR="004B7105" w:rsidRPr="00A3524B">
        <w:rPr>
          <w:spacing w:val="0"/>
          <w:kern w:val="2"/>
          <w:sz w:val="24"/>
        </w:rPr>
        <w:t>r</w:t>
      </w:r>
      <w:r w:rsidR="00E365AB" w:rsidRPr="00A3524B">
        <w:rPr>
          <w:spacing w:val="0"/>
          <w:kern w:val="2"/>
          <w:sz w:val="24"/>
        </w:rPr>
        <w:t xml:space="preserve">om its audit firm, it will do so in accordance with the </w:t>
      </w:r>
      <w:bookmarkStart w:id="0" w:name="_GoBack"/>
      <w:bookmarkEnd w:id="0"/>
      <w:r w:rsidR="00E365AB" w:rsidRPr="00A3524B">
        <w:rPr>
          <w:spacing w:val="0"/>
          <w:kern w:val="2"/>
          <w:sz w:val="24"/>
        </w:rPr>
        <w:t>policy for “Procuring Non-audit Services from the Audit Firm.”</w:t>
      </w:r>
    </w:p>
    <w:p w:rsidR="00E365AB" w:rsidRPr="00A3524B" w:rsidRDefault="00E365AB" w:rsidP="00D50AD9">
      <w:pPr>
        <w:pStyle w:val="BodyText"/>
        <w:jc w:val="both"/>
        <w:rPr>
          <w:b/>
          <w:bCs w:val="0"/>
          <w:iCs/>
          <w:spacing w:val="0"/>
          <w:kern w:val="2"/>
          <w:sz w:val="24"/>
        </w:rPr>
      </w:pPr>
    </w:p>
    <w:p w:rsidR="00280D9C" w:rsidRPr="00365DCA" w:rsidRDefault="004B7105" w:rsidP="00280D9C">
      <w:pPr>
        <w:rPr>
          <w:b/>
        </w:rPr>
      </w:pPr>
      <w:r w:rsidRPr="00A3524B">
        <w:rPr>
          <w:b/>
          <w:spacing w:val="0"/>
          <w:kern w:val="2"/>
        </w:rPr>
        <w:t xml:space="preserve">This policy and procedure shall be periodically reviewed and updated consistent with the requirements and standards established by the Board of Directors and </w:t>
      </w:r>
      <w:r w:rsidR="00280D9C">
        <w:rPr>
          <w:b/>
          <w:spacing w:val="0"/>
          <w:kern w:val="2"/>
        </w:rPr>
        <w:t xml:space="preserve">PCA-HCCN </w:t>
      </w:r>
      <w:r w:rsidRPr="00A3524B">
        <w:rPr>
          <w:b/>
          <w:spacing w:val="0"/>
          <w:kern w:val="2"/>
        </w:rPr>
        <w:t>management, federal and</w:t>
      </w:r>
      <w:r w:rsidR="00280D9C">
        <w:rPr>
          <w:b/>
          <w:spacing w:val="0"/>
          <w:kern w:val="2"/>
        </w:rPr>
        <w:t xml:space="preserve"> state laws and regulations,</w:t>
      </w:r>
      <w:r w:rsidRPr="00A3524B">
        <w:rPr>
          <w:b/>
          <w:spacing w:val="0"/>
          <w:kern w:val="2"/>
        </w:rPr>
        <w:t xml:space="preserve"> applicable accre</w:t>
      </w:r>
      <w:r w:rsidR="00280D9C">
        <w:rPr>
          <w:b/>
          <w:spacing w:val="0"/>
          <w:kern w:val="2"/>
        </w:rPr>
        <w:t>diting and review organizations</w:t>
      </w:r>
      <w:r w:rsidR="00280D9C">
        <w:rPr>
          <w:b/>
        </w:rPr>
        <w:t>, and applicable accrediting and review organizations.</w:t>
      </w:r>
    </w:p>
    <w:p w:rsidR="004B7105" w:rsidRPr="00A3524B" w:rsidRDefault="004B7105" w:rsidP="00D50AD9">
      <w:pPr>
        <w:jc w:val="both"/>
        <w:rPr>
          <w:spacing w:val="0"/>
          <w:kern w:val="2"/>
        </w:rPr>
      </w:pPr>
    </w:p>
    <w:p w:rsidR="004B7105" w:rsidRPr="00A3524B" w:rsidRDefault="004B7105" w:rsidP="00D50AD9">
      <w:pPr>
        <w:jc w:val="both"/>
        <w:rPr>
          <w:b/>
          <w:spacing w:val="0"/>
          <w:kern w:val="2"/>
        </w:rPr>
      </w:pPr>
      <w:r w:rsidRPr="00A3524B">
        <w:rPr>
          <w:b/>
          <w:spacing w:val="0"/>
          <w:kern w:val="2"/>
        </w:rPr>
        <w:t>Responsible parties:</w:t>
      </w:r>
    </w:p>
    <w:p w:rsidR="004B7105" w:rsidRPr="00A3524B" w:rsidRDefault="004B7105" w:rsidP="00D50AD9">
      <w:pPr>
        <w:jc w:val="both"/>
        <w:rPr>
          <w:b/>
          <w:spacing w:val="0"/>
          <w:kern w:val="2"/>
        </w:rPr>
      </w:pPr>
    </w:p>
    <w:p w:rsidR="004B7105" w:rsidRPr="00A3524B" w:rsidRDefault="004B7105" w:rsidP="00D50AD9">
      <w:pPr>
        <w:pStyle w:val="Heading3"/>
        <w:rPr>
          <w:b/>
          <w:kern w:val="2"/>
          <w:szCs w:val="24"/>
        </w:rPr>
      </w:pPr>
      <w:r w:rsidRPr="00A3524B">
        <w:rPr>
          <w:kern w:val="2"/>
          <w:szCs w:val="24"/>
        </w:rPr>
        <w:t>Signature</w:t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  <w:t>Date</w:t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  <w:r w:rsidRPr="00A3524B">
        <w:rPr>
          <w:kern w:val="2"/>
          <w:szCs w:val="24"/>
        </w:rPr>
        <w:tab/>
      </w:r>
    </w:p>
    <w:p w:rsidR="004B7105" w:rsidRPr="00A3524B" w:rsidRDefault="004B7105" w:rsidP="00D50AD9">
      <w:pPr>
        <w:pStyle w:val="Heading3"/>
        <w:rPr>
          <w:kern w:val="2"/>
          <w:szCs w:val="24"/>
          <w:u w:val="none"/>
        </w:rPr>
      </w:pPr>
      <w:r w:rsidRPr="00A3524B">
        <w:rPr>
          <w:kern w:val="2"/>
          <w:szCs w:val="24"/>
          <w:u w:val="none"/>
        </w:rPr>
        <w:t>Executive Director</w:t>
      </w:r>
    </w:p>
    <w:p w:rsidR="004B7105" w:rsidRPr="00A3524B" w:rsidRDefault="004B7105" w:rsidP="00D50AD9">
      <w:pPr>
        <w:jc w:val="both"/>
        <w:rPr>
          <w:spacing w:val="0"/>
          <w:kern w:val="2"/>
        </w:rPr>
      </w:pPr>
    </w:p>
    <w:p w:rsidR="0000738F" w:rsidRPr="00A3524B" w:rsidRDefault="004B7105" w:rsidP="00A3524B">
      <w:pPr>
        <w:pStyle w:val="3"/>
        <w:rPr>
          <w:bCs/>
          <w:kern w:val="2"/>
          <w:szCs w:val="24"/>
        </w:rPr>
      </w:pPr>
      <w:r w:rsidRPr="00A3524B">
        <w:rPr>
          <w:kern w:val="2"/>
          <w:szCs w:val="24"/>
          <w:u w:val="single"/>
        </w:rPr>
        <w:t>Signature</w:t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  <w:t>Date</w:t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  <w:r w:rsidRPr="00A3524B">
        <w:rPr>
          <w:kern w:val="2"/>
          <w:szCs w:val="24"/>
          <w:u w:val="single"/>
        </w:rPr>
        <w:tab/>
      </w:r>
    </w:p>
    <w:sectPr w:rsidR="0000738F" w:rsidRPr="00A3524B" w:rsidSect="00A3524B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7C" w:rsidRDefault="0017477C" w:rsidP="0017477C">
      <w:r>
        <w:separator/>
      </w:r>
    </w:p>
  </w:endnote>
  <w:endnote w:type="continuationSeparator" w:id="0">
    <w:p w:rsidR="0017477C" w:rsidRDefault="0017477C" w:rsidP="0017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7C" w:rsidRPr="00470A9C" w:rsidRDefault="0017477C" w:rsidP="0017477C">
    <w:pPr>
      <w:pBdr>
        <w:bottom w:val="single" w:sz="12" w:space="0" w:color="auto"/>
      </w:pBdr>
      <w:rPr>
        <w:rFonts w:eastAsiaTheme="minorHAnsi" w:cstheme="minorBidi"/>
        <w:bCs w:val="0"/>
        <w:spacing w:val="0"/>
        <w:sz w:val="20"/>
        <w:szCs w:val="20"/>
      </w:rPr>
    </w:pPr>
  </w:p>
  <w:p w:rsidR="0017477C" w:rsidRPr="00470A9C" w:rsidRDefault="0017477C" w:rsidP="0017477C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17477C" w:rsidRPr="00470A9C" w:rsidRDefault="006C58A5" w:rsidP="0017477C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  <w:r>
      <w:rPr>
        <w:rFonts w:eastAsiaTheme="minorHAnsi" w:cstheme="minorBidi"/>
        <w:bCs w:val="0"/>
        <w:spacing w:val="0"/>
        <w:sz w:val="20"/>
        <w:szCs w:val="20"/>
      </w:rPr>
      <w:t xml:space="preserve">The </w:t>
    </w:r>
    <w:r w:rsidR="002A140D">
      <w:rPr>
        <w:rFonts w:eastAsiaTheme="minorHAnsi" w:cstheme="minorBidi"/>
        <w:bCs w:val="0"/>
        <w:spacing w:val="0"/>
        <w:sz w:val="20"/>
        <w:szCs w:val="20"/>
      </w:rPr>
      <w:t>Corporate</w:t>
    </w:r>
    <w:r w:rsidR="0017477C" w:rsidRPr="00470A9C">
      <w:rPr>
        <w:rFonts w:eastAsiaTheme="minorHAnsi" w:cstheme="minorBidi"/>
        <w:bCs w:val="0"/>
        <w:spacing w:val="0"/>
        <w:sz w:val="20"/>
        <w:szCs w:val="20"/>
      </w:rPr>
      <w:t xml:space="preserve"> Compliance Toolkit</w:t>
    </w:r>
    <w:r w:rsidR="002A140D">
      <w:rPr>
        <w:rFonts w:eastAsiaTheme="minorHAnsi" w:cstheme="minorBidi"/>
        <w:bCs w:val="0"/>
        <w:spacing w:val="0"/>
        <w:sz w:val="20"/>
        <w:szCs w:val="20"/>
      </w:rPr>
      <w:t xml:space="preserve"> for PCAs-HCCNs</w:t>
    </w:r>
  </w:p>
  <w:p w:rsidR="0017477C" w:rsidRPr="00470A9C" w:rsidRDefault="0017477C" w:rsidP="0017477C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>© 201</w:t>
    </w:r>
    <w:r w:rsidR="00E473E0">
      <w:rPr>
        <w:rFonts w:eastAsiaTheme="minorHAnsi" w:cstheme="minorBidi"/>
        <w:bCs w:val="0"/>
        <w:spacing w:val="0"/>
        <w:sz w:val="20"/>
        <w:szCs w:val="20"/>
        <w:lang w:val="de-DE"/>
      </w:rPr>
      <w:t>5</w:t>
    </w: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 xml:space="preserve"> </w:t>
    </w:r>
    <w:r w:rsidRPr="00470A9C">
      <w:rPr>
        <w:rFonts w:eastAsiaTheme="minorHAnsi" w:cstheme="minorBidi"/>
        <w:bCs w:val="0"/>
        <w:spacing w:val="0"/>
        <w:sz w:val="20"/>
        <w:szCs w:val="20"/>
      </w:rPr>
      <w:t>National Association of Community Health Centers, Inc.</w:t>
    </w:r>
  </w:p>
  <w:p w:rsidR="0017477C" w:rsidRPr="00470A9C" w:rsidRDefault="0017477C" w:rsidP="0017477C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>and Feldesman Tucker Leifer Fidell LLP</w:t>
    </w:r>
  </w:p>
  <w:p w:rsidR="0017477C" w:rsidRPr="00470A9C" w:rsidRDefault="0017477C" w:rsidP="0017477C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17477C" w:rsidRPr="0017477C" w:rsidRDefault="0017477C" w:rsidP="0017477C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begin"/>
    </w:r>
    <w:r w:rsidRPr="00470A9C">
      <w:rPr>
        <w:rFonts w:eastAsiaTheme="minorHAnsi" w:cstheme="minorBidi"/>
        <w:bCs w:val="0"/>
        <w:spacing w:val="0"/>
        <w:sz w:val="20"/>
        <w:szCs w:val="20"/>
      </w:rPr>
      <w:instrText xml:space="preserve"> PAGE </w:instrTex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separate"/>
    </w:r>
    <w:r w:rsidR="002A63CC">
      <w:rPr>
        <w:rFonts w:eastAsiaTheme="minorHAnsi" w:cstheme="minorBidi"/>
        <w:bCs w:val="0"/>
        <w:noProof/>
        <w:spacing w:val="0"/>
        <w:sz w:val="20"/>
        <w:szCs w:val="20"/>
      </w:rPr>
      <w:t>2</w: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7C" w:rsidRDefault="0017477C" w:rsidP="0017477C">
      <w:r>
        <w:separator/>
      </w:r>
    </w:p>
  </w:footnote>
  <w:footnote w:type="continuationSeparator" w:id="0">
    <w:p w:rsidR="0017477C" w:rsidRDefault="0017477C" w:rsidP="0017477C">
      <w:r>
        <w:continuationSeparator/>
      </w:r>
    </w:p>
  </w:footnote>
  <w:footnote w:id="1">
    <w:p w:rsidR="004C4942" w:rsidRPr="00A3524B" w:rsidRDefault="004C4942" w:rsidP="00616A1F">
      <w:pPr>
        <w:pStyle w:val="FootnoteText"/>
        <w:ind w:left="360" w:hanging="360"/>
        <w:rPr>
          <w:spacing w:val="0"/>
          <w:kern w:val="2"/>
        </w:rPr>
      </w:pPr>
      <w:r>
        <w:rPr>
          <w:rStyle w:val="FootnoteReference"/>
        </w:rPr>
        <w:footnoteRef/>
      </w:r>
      <w:r>
        <w:t xml:space="preserve"> </w:t>
      </w:r>
      <w:r w:rsidR="00D50AD9">
        <w:tab/>
      </w:r>
      <w:r w:rsidRPr="00A3524B">
        <w:rPr>
          <w:spacing w:val="0"/>
          <w:kern w:val="2"/>
        </w:rPr>
        <w:t>The Authors of these materials include attorneys at the law firm of Feldesman Tucker Leifer Fidell LLP. The sample documents offer general guidance based on f</w:t>
      </w:r>
      <w:r w:rsidR="006C58A5" w:rsidRPr="00A3524B">
        <w:rPr>
          <w:spacing w:val="0"/>
          <w:kern w:val="2"/>
        </w:rPr>
        <w:t>ederal law and regulations</w:t>
      </w:r>
      <w:r w:rsidRPr="00A3524B">
        <w:rPr>
          <w:spacing w:val="0"/>
          <w:kern w:val="2"/>
        </w:rPr>
        <w:t xml:space="preserve"> and do not necessarily apply to all </w:t>
      </w:r>
      <w:r w:rsidR="000E33D7">
        <w:rPr>
          <w:spacing w:val="0"/>
          <w:kern w:val="2"/>
        </w:rPr>
        <w:t>PCAs-HCCN</w:t>
      </w:r>
      <w:r w:rsidR="00236F6D" w:rsidRPr="00A3524B">
        <w:rPr>
          <w:spacing w:val="0"/>
          <w:kern w:val="2"/>
        </w:rPr>
        <w:t>s</w:t>
      </w:r>
      <w:r w:rsidRPr="00A3524B">
        <w:rPr>
          <w:spacing w:val="0"/>
          <w:kern w:val="2"/>
        </w:rPr>
        <w:t xml:space="preserve"> under all facts and circumstances. Further, these materials do not replace, and are not a substitute for, legal advice from qualified legal counsel.</w:t>
      </w:r>
    </w:p>
  </w:footnote>
  <w:footnote w:id="2">
    <w:p w:rsidR="007C7CCE" w:rsidRPr="00A3524B" w:rsidRDefault="007C7CCE" w:rsidP="00616A1F">
      <w:pPr>
        <w:pStyle w:val="FootnoteText"/>
        <w:ind w:left="360" w:hanging="360"/>
        <w:rPr>
          <w:spacing w:val="0"/>
          <w:kern w:val="2"/>
        </w:rPr>
      </w:pPr>
      <w:r w:rsidRPr="00A3524B">
        <w:rPr>
          <w:rStyle w:val="FootnoteReference"/>
          <w:spacing w:val="0"/>
          <w:kern w:val="2"/>
        </w:rPr>
        <w:footnoteRef/>
      </w:r>
      <w:r w:rsidRPr="00A3524B">
        <w:rPr>
          <w:spacing w:val="0"/>
          <w:kern w:val="2"/>
        </w:rPr>
        <w:t xml:space="preserve"> </w:t>
      </w:r>
      <w:r w:rsidR="00D50AD9" w:rsidRPr="00A3524B">
        <w:rPr>
          <w:spacing w:val="0"/>
          <w:kern w:val="2"/>
        </w:rPr>
        <w:tab/>
      </w:r>
      <w:r w:rsidRPr="00A3524B">
        <w:rPr>
          <w:spacing w:val="0"/>
          <w:kern w:val="2"/>
        </w:rPr>
        <w:t xml:space="preserve">Authors’ note: Using the following sample as a guide, </w:t>
      </w:r>
      <w:r w:rsidR="000E33D7">
        <w:rPr>
          <w:spacing w:val="0"/>
          <w:kern w:val="2"/>
        </w:rPr>
        <w:t>PCA</w:t>
      </w:r>
      <w:r w:rsidR="00236F6D" w:rsidRPr="00A3524B">
        <w:rPr>
          <w:spacing w:val="0"/>
          <w:kern w:val="2"/>
        </w:rPr>
        <w:t>s</w:t>
      </w:r>
      <w:r w:rsidR="000E33D7">
        <w:rPr>
          <w:spacing w:val="0"/>
          <w:kern w:val="2"/>
        </w:rPr>
        <w:t>-HCCNs</w:t>
      </w:r>
      <w:r w:rsidRPr="00A3524B">
        <w:rPr>
          <w:spacing w:val="0"/>
          <w:kern w:val="2"/>
        </w:rPr>
        <w:t xml:space="preserve">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7C" w:rsidRPr="00616A1F" w:rsidRDefault="0017477C" w:rsidP="0017477C">
    <w:pPr>
      <w:jc w:val="center"/>
      <w:rPr>
        <w:spacing w:val="0"/>
        <w:sz w:val="20"/>
      </w:rPr>
    </w:pPr>
    <w:r w:rsidRPr="00616A1F">
      <w:rPr>
        <w:spacing w:val="0"/>
        <w:sz w:val="20"/>
      </w:rPr>
      <w:t xml:space="preserve">Volume II: </w:t>
    </w:r>
    <w:r w:rsidR="00D50AD9" w:rsidRPr="00616A1F">
      <w:rPr>
        <w:spacing w:val="0"/>
        <w:sz w:val="20"/>
      </w:rPr>
      <w:t xml:space="preserve"> </w:t>
    </w:r>
    <w:r w:rsidR="002A140D" w:rsidRPr="00616A1F">
      <w:rPr>
        <w:spacing w:val="0"/>
        <w:sz w:val="20"/>
      </w:rPr>
      <w:t xml:space="preserve">PCA-HCCN </w:t>
    </w:r>
    <w:r w:rsidRPr="00616A1F">
      <w:rPr>
        <w:spacing w:val="0"/>
        <w:sz w:val="20"/>
      </w:rPr>
      <w:t>Risk Areas</w:t>
    </w:r>
  </w:p>
  <w:p w:rsidR="0017477C" w:rsidRPr="00616A1F" w:rsidRDefault="0017477C" w:rsidP="0017477C">
    <w:pPr>
      <w:pBdr>
        <w:bottom w:val="single" w:sz="12" w:space="0" w:color="auto"/>
      </w:pBdr>
      <w:jc w:val="center"/>
      <w:rPr>
        <w:spacing w:val="0"/>
        <w:sz w:val="20"/>
      </w:rPr>
    </w:pPr>
    <w:r w:rsidRPr="00616A1F">
      <w:rPr>
        <w:spacing w:val="0"/>
        <w:sz w:val="20"/>
      </w:rPr>
      <w:t>Federal Grants Management</w:t>
    </w:r>
  </w:p>
  <w:p w:rsidR="0017477C" w:rsidRPr="00F354EE" w:rsidRDefault="0017477C" w:rsidP="0017477C">
    <w:pPr>
      <w:pBdr>
        <w:bottom w:val="single" w:sz="12" w:space="0" w:color="auto"/>
      </w:pBdr>
      <w:jc w:val="center"/>
      <w:rPr>
        <w:sz w:val="20"/>
      </w:rPr>
    </w:pPr>
  </w:p>
  <w:p w:rsidR="0017477C" w:rsidRDefault="00174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9EE"/>
    <w:multiLevelType w:val="hybridMultilevel"/>
    <w:tmpl w:val="61321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455E5"/>
    <w:multiLevelType w:val="hybridMultilevel"/>
    <w:tmpl w:val="E2E292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31689"/>
    <w:multiLevelType w:val="hybridMultilevel"/>
    <w:tmpl w:val="061CA60A"/>
    <w:lvl w:ilvl="0" w:tplc="A306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B"/>
    <w:rsid w:val="0000738F"/>
    <w:rsid w:val="00015531"/>
    <w:rsid w:val="000B4285"/>
    <w:rsid w:val="000C1C67"/>
    <w:rsid w:val="000C728F"/>
    <w:rsid w:val="000D2085"/>
    <w:rsid w:val="000E33D7"/>
    <w:rsid w:val="00124537"/>
    <w:rsid w:val="00160205"/>
    <w:rsid w:val="0017477C"/>
    <w:rsid w:val="00186080"/>
    <w:rsid w:val="001E3E2D"/>
    <w:rsid w:val="00205BF2"/>
    <w:rsid w:val="00235D7B"/>
    <w:rsid w:val="00236F6D"/>
    <w:rsid w:val="00246088"/>
    <w:rsid w:val="00280D9C"/>
    <w:rsid w:val="002A140D"/>
    <w:rsid w:val="002A63CC"/>
    <w:rsid w:val="00324D3D"/>
    <w:rsid w:val="003479B7"/>
    <w:rsid w:val="0036018B"/>
    <w:rsid w:val="003748CE"/>
    <w:rsid w:val="0039226E"/>
    <w:rsid w:val="00393E9A"/>
    <w:rsid w:val="003D31D1"/>
    <w:rsid w:val="00402749"/>
    <w:rsid w:val="00415BC7"/>
    <w:rsid w:val="00425550"/>
    <w:rsid w:val="00443D30"/>
    <w:rsid w:val="00460227"/>
    <w:rsid w:val="004B7105"/>
    <w:rsid w:val="004C4942"/>
    <w:rsid w:val="005A4D29"/>
    <w:rsid w:val="005C0006"/>
    <w:rsid w:val="005F1106"/>
    <w:rsid w:val="005F3B6F"/>
    <w:rsid w:val="00616A1F"/>
    <w:rsid w:val="00694450"/>
    <w:rsid w:val="006B17FF"/>
    <w:rsid w:val="006C58A5"/>
    <w:rsid w:val="00707F3D"/>
    <w:rsid w:val="007625CD"/>
    <w:rsid w:val="007678A4"/>
    <w:rsid w:val="007731EF"/>
    <w:rsid w:val="00794F2A"/>
    <w:rsid w:val="007976A7"/>
    <w:rsid w:val="007C7CCE"/>
    <w:rsid w:val="007F6206"/>
    <w:rsid w:val="0080546C"/>
    <w:rsid w:val="00872A33"/>
    <w:rsid w:val="008A7438"/>
    <w:rsid w:val="008B6A73"/>
    <w:rsid w:val="008F7AAC"/>
    <w:rsid w:val="00907B72"/>
    <w:rsid w:val="00914D44"/>
    <w:rsid w:val="00920444"/>
    <w:rsid w:val="009337FD"/>
    <w:rsid w:val="00933D09"/>
    <w:rsid w:val="00947EDD"/>
    <w:rsid w:val="00957401"/>
    <w:rsid w:val="009739C1"/>
    <w:rsid w:val="0098236A"/>
    <w:rsid w:val="00997F4F"/>
    <w:rsid w:val="009B3947"/>
    <w:rsid w:val="00A3524B"/>
    <w:rsid w:val="00AE747D"/>
    <w:rsid w:val="00B34154"/>
    <w:rsid w:val="00B52551"/>
    <w:rsid w:val="00BA5F37"/>
    <w:rsid w:val="00BD23E9"/>
    <w:rsid w:val="00CE5E06"/>
    <w:rsid w:val="00D02674"/>
    <w:rsid w:val="00D22EF8"/>
    <w:rsid w:val="00D503B5"/>
    <w:rsid w:val="00D50AD9"/>
    <w:rsid w:val="00DA5DD4"/>
    <w:rsid w:val="00DB2F67"/>
    <w:rsid w:val="00DE5CEA"/>
    <w:rsid w:val="00DF386A"/>
    <w:rsid w:val="00E11684"/>
    <w:rsid w:val="00E207BF"/>
    <w:rsid w:val="00E365AB"/>
    <w:rsid w:val="00E473E0"/>
    <w:rsid w:val="00EB7470"/>
    <w:rsid w:val="00F16C34"/>
    <w:rsid w:val="00FB4A1B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AB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5A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E365AB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E365AB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365AB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E365AB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365AB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365AB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365A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365AB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365AB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E365A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E365AB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3">
    <w:name w:val="3)"/>
    <w:basedOn w:val="Normal"/>
    <w:rsid w:val="00E365AB"/>
    <w:pPr>
      <w:jc w:val="both"/>
    </w:pPr>
    <w:rPr>
      <w:bCs w:val="0"/>
      <w:spacing w:val="0"/>
      <w:szCs w:val="20"/>
    </w:rPr>
  </w:style>
  <w:style w:type="paragraph" w:styleId="ListParagraph">
    <w:name w:val="List Paragraph"/>
    <w:basedOn w:val="Normal"/>
    <w:uiPriority w:val="34"/>
    <w:qFormat/>
    <w:rsid w:val="00CE5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7C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7C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C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C7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7CCE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C7C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AB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5A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E365AB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E365AB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365AB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E365AB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365AB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365AB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365A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365AB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365AB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E365A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E365AB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3">
    <w:name w:val="3)"/>
    <w:basedOn w:val="Normal"/>
    <w:rsid w:val="00E365AB"/>
    <w:pPr>
      <w:jc w:val="both"/>
    </w:pPr>
    <w:rPr>
      <w:bCs w:val="0"/>
      <w:spacing w:val="0"/>
      <w:szCs w:val="20"/>
    </w:rPr>
  </w:style>
  <w:style w:type="paragraph" w:styleId="ListParagraph">
    <w:name w:val="List Paragraph"/>
    <w:basedOn w:val="Normal"/>
    <w:uiPriority w:val="34"/>
    <w:qFormat/>
    <w:rsid w:val="00CE5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7C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7C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C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C7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7CCE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C7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3B89-54AE-4300-8C51-3E500D5F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3</cp:revision>
  <cp:lastPrinted>2015-11-13T21:26:00Z</cp:lastPrinted>
  <dcterms:created xsi:type="dcterms:W3CDTF">2015-11-13T21:16:00Z</dcterms:created>
  <dcterms:modified xsi:type="dcterms:W3CDTF">2015-11-13T21:31:00Z</dcterms:modified>
</cp:coreProperties>
</file>