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14" w:rsidRDefault="00510014">
      <w:pPr>
        <w:pStyle w:val="Title"/>
        <w:rPr>
          <w:rFonts w:ascii="Times New Roman" w:hAnsi="Times New Roman"/>
          <w:sz w:val="28"/>
          <w:szCs w:val="28"/>
        </w:rPr>
      </w:pPr>
      <w:r w:rsidRPr="00C54040">
        <w:rPr>
          <w:rFonts w:ascii="Times New Roman" w:hAnsi="Times New Roman"/>
          <w:sz w:val="32"/>
          <w:szCs w:val="32"/>
        </w:rPr>
        <w:t>Compliance Training Log</w:t>
      </w:r>
      <w:r w:rsidR="00114F73">
        <w:rPr>
          <w:rFonts w:ascii="Times New Roman" w:hAnsi="Times New Roman"/>
          <w:sz w:val="32"/>
          <w:szCs w:val="32"/>
        </w:rPr>
        <w:t>: Sample Form</w:t>
      </w:r>
      <w:r w:rsidR="00E30DBA" w:rsidRPr="0064730E">
        <w:rPr>
          <w:rStyle w:val="FootnoteReference"/>
          <w:rFonts w:ascii="Times New Roman" w:hAnsi="Times New Roman"/>
          <w:b w:val="0"/>
          <w:sz w:val="24"/>
        </w:rPr>
        <w:footnoteReference w:id="1"/>
      </w:r>
    </w:p>
    <w:p w:rsidR="00C54040" w:rsidRPr="00217897" w:rsidRDefault="00C54040" w:rsidP="00C54040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C54040" w:rsidRPr="00CB051C" w:rsidRDefault="00C54040" w:rsidP="00C54040">
      <w:pPr>
        <w:pStyle w:val="Title"/>
        <w:jc w:val="left"/>
        <w:rPr>
          <w:rFonts w:ascii="Times New Roman" w:hAnsi="Times New Roman"/>
          <w:kern w:val="2"/>
          <w:sz w:val="24"/>
        </w:rPr>
      </w:pPr>
    </w:p>
    <w:p w:rsidR="00510014" w:rsidRPr="00CB051C" w:rsidRDefault="00510014">
      <w:pPr>
        <w:pStyle w:val="Title"/>
        <w:rPr>
          <w:rFonts w:ascii="Times New Roman" w:hAnsi="Times New Roman"/>
          <w:kern w:val="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50"/>
        <w:gridCol w:w="4320"/>
        <w:gridCol w:w="1350"/>
        <w:gridCol w:w="2430"/>
        <w:gridCol w:w="3060"/>
        <w:gridCol w:w="1710"/>
      </w:tblGrid>
      <w:tr w:rsidR="004C633A" w:rsidRPr="00CB051C" w:rsidTr="00AE2C49">
        <w:trPr>
          <w:jc w:val="center"/>
        </w:trPr>
        <w:tc>
          <w:tcPr>
            <w:tcW w:w="1368" w:type="dxa"/>
            <w:shd w:val="clear" w:color="auto" w:fill="D9D9D9"/>
            <w:vAlign w:val="center"/>
          </w:tcPr>
          <w:p w:rsidR="004C633A" w:rsidRPr="00CB051C" w:rsidRDefault="004C633A" w:rsidP="002346AB">
            <w:pPr>
              <w:jc w:val="center"/>
              <w:rPr>
                <w:b/>
                <w:bCs/>
                <w:kern w:val="2"/>
              </w:rPr>
            </w:pPr>
            <w:r w:rsidRPr="00CB051C">
              <w:rPr>
                <w:b/>
                <w:bCs/>
                <w:kern w:val="2"/>
              </w:rPr>
              <w:t>Date of Training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4C633A" w:rsidRPr="00CB051C" w:rsidRDefault="004C633A" w:rsidP="002346AB">
            <w:pPr>
              <w:pStyle w:val="Heading6"/>
              <w:rPr>
                <w:spacing w:val="0"/>
                <w:kern w:val="2"/>
              </w:rPr>
            </w:pPr>
            <w:r w:rsidRPr="00CB051C">
              <w:rPr>
                <w:spacing w:val="0"/>
                <w:kern w:val="2"/>
              </w:rPr>
              <w:t>Subject Matter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4C633A" w:rsidRPr="00CB051C" w:rsidRDefault="004C633A" w:rsidP="000B3903">
            <w:pPr>
              <w:jc w:val="center"/>
              <w:rPr>
                <w:b/>
                <w:bCs/>
                <w:kern w:val="2"/>
              </w:rPr>
            </w:pPr>
            <w:r w:rsidRPr="00CB051C">
              <w:rPr>
                <w:b/>
                <w:bCs/>
                <w:kern w:val="2"/>
              </w:rPr>
              <w:t xml:space="preserve">Category </w:t>
            </w:r>
            <w:r w:rsidR="000B3903" w:rsidRPr="00CB051C">
              <w:rPr>
                <w:b/>
                <w:bCs/>
                <w:kern w:val="2"/>
              </w:rPr>
              <w:br/>
            </w:r>
            <w:r w:rsidRPr="00CB051C">
              <w:rPr>
                <w:b/>
                <w:bCs/>
                <w:kern w:val="2"/>
              </w:rPr>
              <w:t xml:space="preserve">(General Compliance / </w:t>
            </w:r>
            <w:r w:rsidR="000B3903" w:rsidRPr="00CB051C">
              <w:rPr>
                <w:b/>
                <w:bCs/>
                <w:kern w:val="2"/>
              </w:rPr>
              <w:br/>
            </w:r>
            <w:r w:rsidRPr="00CB051C">
              <w:rPr>
                <w:b/>
                <w:bCs/>
                <w:kern w:val="2"/>
              </w:rPr>
              <w:t>Specific Risk Area)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4C633A" w:rsidRPr="00CB051C" w:rsidRDefault="004C633A" w:rsidP="00322B19">
            <w:pPr>
              <w:jc w:val="center"/>
              <w:rPr>
                <w:b/>
                <w:bCs/>
                <w:kern w:val="2"/>
              </w:rPr>
            </w:pPr>
            <w:r w:rsidRPr="00CB051C">
              <w:rPr>
                <w:b/>
                <w:bCs/>
                <w:kern w:val="2"/>
              </w:rPr>
              <w:t>Length of Session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4C633A" w:rsidRPr="00CB051C" w:rsidRDefault="004C633A" w:rsidP="002346AB">
            <w:pPr>
              <w:jc w:val="center"/>
              <w:rPr>
                <w:b/>
                <w:bCs/>
                <w:kern w:val="2"/>
              </w:rPr>
            </w:pPr>
            <w:r w:rsidRPr="00CB051C">
              <w:rPr>
                <w:b/>
                <w:bCs/>
                <w:kern w:val="2"/>
              </w:rPr>
              <w:t>Trainer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4C633A" w:rsidRPr="00CB051C" w:rsidRDefault="004C633A" w:rsidP="002346AB">
            <w:pPr>
              <w:jc w:val="center"/>
              <w:rPr>
                <w:b/>
                <w:bCs/>
                <w:kern w:val="2"/>
              </w:rPr>
            </w:pPr>
            <w:r w:rsidRPr="00CB051C">
              <w:rPr>
                <w:b/>
                <w:bCs/>
                <w:kern w:val="2"/>
              </w:rPr>
              <w:t>Training Method</w:t>
            </w:r>
          </w:p>
          <w:p w:rsidR="004C633A" w:rsidRPr="00CB051C" w:rsidRDefault="004C633A" w:rsidP="002346AB">
            <w:pPr>
              <w:jc w:val="center"/>
              <w:rPr>
                <w:b/>
                <w:bCs/>
                <w:kern w:val="2"/>
              </w:rPr>
            </w:pPr>
            <w:r w:rsidRPr="00CB051C">
              <w:rPr>
                <w:b/>
                <w:bCs/>
                <w:kern w:val="2"/>
              </w:rPr>
              <w:t>(In person / Webinar / Etc.)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C633A" w:rsidRPr="00CB051C" w:rsidRDefault="004C633A" w:rsidP="002346AB">
            <w:pPr>
              <w:jc w:val="center"/>
              <w:rPr>
                <w:b/>
                <w:bCs/>
                <w:kern w:val="2"/>
              </w:rPr>
            </w:pPr>
            <w:r w:rsidRPr="00CB051C">
              <w:rPr>
                <w:b/>
                <w:bCs/>
                <w:kern w:val="2"/>
              </w:rPr>
              <w:t>Number of Participants</w:t>
            </w:r>
          </w:p>
        </w:tc>
      </w:tr>
      <w:tr w:rsidR="004C633A" w:rsidRPr="00CB051C" w:rsidTr="00AE2C49">
        <w:trPr>
          <w:jc w:val="center"/>
        </w:trPr>
        <w:tc>
          <w:tcPr>
            <w:tcW w:w="1368" w:type="dxa"/>
          </w:tcPr>
          <w:p w:rsidR="004C633A" w:rsidRPr="00CB051C" w:rsidRDefault="004C633A">
            <w:pPr>
              <w:rPr>
                <w:kern w:val="2"/>
              </w:rPr>
            </w:pPr>
          </w:p>
          <w:p w:rsidR="004C633A" w:rsidRPr="00CB051C" w:rsidRDefault="004C633A">
            <w:pPr>
              <w:rPr>
                <w:kern w:val="2"/>
              </w:rPr>
            </w:pPr>
          </w:p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315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432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135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243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306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171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</w:tr>
      <w:tr w:rsidR="004C633A" w:rsidRPr="00CB051C" w:rsidTr="00AE2C49">
        <w:trPr>
          <w:jc w:val="center"/>
        </w:trPr>
        <w:tc>
          <w:tcPr>
            <w:tcW w:w="1368" w:type="dxa"/>
          </w:tcPr>
          <w:p w:rsidR="004C633A" w:rsidRPr="00CB051C" w:rsidRDefault="004C633A">
            <w:pPr>
              <w:rPr>
                <w:kern w:val="2"/>
              </w:rPr>
            </w:pPr>
          </w:p>
          <w:p w:rsidR="004C633A" w:rsidRPr="00CB051C" w:rsidRDefault="004C633A">
            <w:pPr>
              <w:rPr>
                <w:kern w:val="2"/>
              </w:rPr>
            </w:pPr>
          </w:p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315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432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135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243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306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171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</w:tr>
      <w:tr w:rsidR="004C633A" w:rsidRPr="00CB051C" w:rsidTr="00AE2C49">
        <w:trPr>
          <w:jc w:val="center"/>
        </w:trPr>
        <w:tc>
          <w:tcPr>
            <w:tcW w:w="1368" w:type="dxa"/>
          </w:tcPr>
          <w:p w:rsidR="004C633A" w:rsidRPr="00CB051C" w:rsidRDefault="004C633A">
            <w:pPr>
              <w:rPr>
                <w:kern w:val="2"/>
              </w:rPr>
            </w:pPr>
          </w:p>
          <w:p w:rsidR="004C633A" w:rsidRPr="00CB051C" w:rsidRDefault="004C633A">
            <w:pPr>
              <w:rPr>
                <w:kern w:val="2"/>
              </w:rPr>
            </w:pPr>
          </w:p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315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432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135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243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306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171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</w:tr>
      <w:tr w:rsidR="004C633A" w:rsidRPr="00CB051C" w:rsidTr="00AE2C49">
        <w:trPr>
          <w:jc w:val="center"/>
        </w:trPr>
        <w:tc>
          <w:tcPr>
            <w:tcW w:w="1368" w:type="dxa"/>
          </w:tcPr>
          <w:p w:rsidR="004C633A" w:rsidRPr="00CB051C" w:rsidRDefault="004C633A">
            <w:pPr>
              <w:rPr>
                <w:kern w:val="2"/>
              </w:rPr>
            </w:pPr>
          </w:p>
          <w:p w:rsidR="004C633A" w:rsidRPr="00CB051C" w:rsidRDefault="004C633A">
            <w:pPr>
              <w:rPr>
                <w:kern w:val="2"/>
              </w:rPr>
            </w:pPr>
          </w:p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315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432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135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243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306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171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</w:tr>
      <w:tr w:rsidR="004C633A" w:rsidRPr="00CB051C" w:rsidTr="00AE2C49">
        <w:trPr>
          <w:jc w:val="center"/>
        </w:trPr>
        <w:tc>
          <w:tcPr>
            <w:tcW w:w="1368" w:type="dxa"/>
          </w:tcPr>
          <w:p w:rsidR="004C633A" w:rsidRPr="00CB051C" w:rsidRDefault="004C633A">
            <w:pPr>
              <w:rPr>
                <w:kern w:val="2"/>
              </w:rPr>
            </w:pPr>
          </w:p>
          <w:p w:rsidR="004C633A" w:rsidRPr="00CB051C" w:rsidRDefault="004C633A">
            <w:pPr>
              <w:rPr>
                <w:kern w:val="2"/>
              </w:rPr>
            </w:pPr>
          </w:p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315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432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135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243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306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171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</w:tr>
      <w:tr w:rsidR="004C633A" w:rsidRPr="00CB051C" w:rsidTr="00AE2C49">
        <w:trPr>
          <w:trHeight w:val="512"/>
          <w:jc w:val="center"/>
        </w:trPr>
        <w:tc>
          <w:tcPr>
            <w:tcW w:w="1368" w:type="dxa"/>
          </w:tcPr>
          <w:p w:rsidR="004C633A" w:rsidRPr="00CB051C" w:rsidRDefault="004C633A">
            <w:pPr>
              <w:rPr>
                <w:kern w:val="2"/>
              </w:rPr>
            </w:pPr>
          </w:p>
          <w:p w:rsidR="004C633A" w:rsidRPr="00CB051C" w:rsidRDefault="004C633A">
            <w:pPr>
              <w:rPr>
                <w:kern w:val="2"/>
              </w:rPr>
            </w:pPr>
          </w:p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315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432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135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243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306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  <w:tc>
          <w:tcPr>
            <w:tcW w:w="1710" w:type="dxa"/>
          </w:tcPr>
          <w:p w:rsidR="004C633A" w:rsidRPr="00CB051C" w:rsidRDefault="004C633A">
            <w:pPr>
              <w:rPr>
                <w:kern w:val="2"/>
              </w:rPr>
            </w:pPr>
          </w:p>
        </w:tc>
      </w:tr>
    </w:tbl>
    <w:p w:rsidR="00510014" w:rsidRDefault="00510014">
      <w:pPr>
        <w:pStyle w:val="Title"/>
        <w:jc w:val="left"/>
      </w:pPr>
      <w:r>
        <w:t xml:space="preserve"> </w:t>
      </w:r>
      <w:bookmarkStart w:id="0" w:name="_GoBack"/>
      <w:bookmarkEnd w:id="0"/>
    </w:p>
    <w:sectPr w:rsidR="00510014" w:rsidSect="00CB0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40" w:right="1440" w:bottom="1440" w:left="1440" w:header="720" w:footer="5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64" w:rsidRDefault="007F5664">
      <w:r>
        <w:separator/>
      </w:r>
    </w:p>
  </w:endnote>
  <w:endnote w:type="continuationSeparator" w:id="0">
    <w:p w:rsidR="007F5664" w:rsidRDefault="007F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75" w:rsidRDefault="004649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975" w:rsidRDefault="00464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58" w:rsidRPr="00E8133C" w:rsidRDefault="00140058" w:rsidP="00140058">
    <w:pPr>
      <w:pBdr>
        <w:bottom w:val="single" w:sz="12" w:space="0" w:color="auto"/>
      </w:pBdr>
      <w:rPr>
        <w:sz w:val="20"/>
        <w:szCs w:val="20"/>
      </w:rPr>
    </w:pPr>
  </w:p>
  <w:p w:rsidR="00140058" w:rsidRPr="00E8133C" w:rsidRDefault="00140058" w:rsidP="00140058">
    <w:pPr>
      <w:tabs>
        <w:tab w:val="left" w:pos="2340"/>
      </w:tabs>
      <w:jc w:val="center"/>
      <w:rPr>
        <w:sz w:val="20"/>
        <w:szCs w:val="20"/>
      </w:rPr>
    </w:pPr>
  </w:p>
  <w:p w:rsidR="00AE2C49" w:rsidRPr="00E8133C" w:rsidRDefault="00E8133C" w:rsidP="00AE2C49">
    <w:pPr>
      <w:tabs>
        <w:tab w:val="left" w:pos="2340"/>
      </w:tabs>
      <w:jc w:val="center"/>
      <w:rPr>
        <w:sz w:val="20"/>
        <w:szCs w:val="20"/>
      </w:rPr>
    </w:pPr>
    <w:r w:rsidRPr="00E8133C">
      <w:rPr>
        <w:sz w:val="20"/>
        <w:szCs w:val="20"/>
      </w:rPr>
      <w:t xml:space="preserve">The </w:t>
    </w:r>
    <w:r w:rsidR="00AE2C49" w:rsidRPr="00E8133C">
      <w:rPr>
        <w:sz w:val="20"/>
        <w:szCs w:val="20"/>
      </w:rPr>
      <w:t>Corporate Compliance Toolkit</w:t>
    </w:r>
    <w:r w:rsidRPr="00E8133C">
      <w:rPr>
        <w:sz w:val="20"/>
        <w:szCs w:val="20"/>
      </w:rPr>
      <w:t xml:space="preserve"> for </w:t>
    </w:r>
    <w:r w:rsidR="00C4767C">
      <w:rPr>
        <w:sz w:val="20"/>
        <w:szCs w:val="20"/>
      </w:rPr>
      <w:t>PCAs-HCCNs</w:t>
    </w:r>
  </w:p>
  <w:p w:rsidR="00AE2C49" w:rsidRPr="00E8133C" w:rsidRDefault="00AE2C49" w:rsidP="00AE2C49">
    <w:pPr>
      <w:tabs>
        <w:tab w:val="left" w:pos="2340"/>
      </w:tabs>
      <w:jc w:val="center"/>
      <w:rPr>
        <w:sz w:val="20"/>
        <w:szCs w:val="20"/>
      </w:rPr>
    </w:pPr>
    <w:r w:rsidRPr="00E8133C">
      <w:rPr>
        <w:sz w:val="20"/>
        <w:szCs w:val="20"/>
        <w:lang w:val="de-DE"/>
      </w:rPr>
      <w:t>©</w:t>
    </w:r>
    <w:r w:rsidR="00E8133C" w:rsidRPr="00E8133C">
      <w:rPr>
        <w:sz w:val="20"/>
        <w:szCs w:val="20"/>
        <w:lang w:val="de-DE"/>
      </w:rPr>
      <w:t>2015</w:t>
    </w:r>
    <w:r w:rsidRPr="00E8133C">
      <w:rPr>
        <w:sz w:val="20"/>
        <w:szCs w:val="20"/>
        <w:lang w:val="de-DE"/>
      </w:rPr>
      <w:t xml:space="preserve"> </w:t>
    </w:r>
    <w:r w:rsidRPr="00E8133C">
      <w:rPr>
        <w:sz w:val="20"/>
        <w:szCs w:val="20"/>
      </w:rPr>
      <w:t>National Association of Community Health Centers, Inc.</w:t>
    </w:r>
  </w:p>
  <w:p w:rsidR="00AE2C49" w:rsidRPr="00E8133C" w:rsidRDefault="00AE2C49" w:rsidP="00AE2C49">
    <w:pPr>
      <w:tabs>
        <w:tab w:val="left" w:pos="2340"/>
      </w:tabs>
      <w:jc w:val="center"/>
      <w:rPr>
        <w:sz w:val="20"/>
        <w:szCs w:val="20"/>
        <w:lang w:val="de-DE"/>
      </w:rPr>
    </w:pPr>
    <w:r w:rsidRPr="00E8133C">
      <w:rPr>
        <w:sz w:val="20"/>
        <w:szCs w:val="20"/>
        <w:lang w:val="de-DE"/>
      </w:rPr>
      <w:t>and Feldesman Tucker Leifer Fidell LLP</w:t>
    </w:r>
  </w:p>
  <w:p w:rsidR="00AE2C49" w:rsidRPr="00E8133C" w:rsidRDefault="00AE2C49" w:rsidP="00AE2C49">
    <w:pPr>
      <w:tabs>
        <w:tab w:val="left" w:pos="2340"/>
      </w:tabs>
      <w:jc w:val="center"/>
      <w:rPr>
        <w:sz w:val="20"/>
        <w:szCs w:val="20"/>
        <w:lang w:val="de-DE"/>
      </w:rPr>
    </w:pPr>
  </w:p>
  <w:p w:rsidR="00464975" w:rsidRPr="00E8133C" w:rsidRDefault="00140058" w:rsidP="00AE2C49">
    <w:pPr>
      <w:tabs>
        <w:tab w:val="left" w:pos="2340"/>
      </w:tabs>
      <w:jc w:val="center"/>
      <w:rPr>
        <w:sz w:val="20"/>
        <w:szCs w:val="20"/>
        <w:lang w:val="de-DE"/>
      </w:rPr>
    </w:pPr>
    <w:r w:rsidRPr="00E8133C">
      <w:rPr>
        <w:rStyle w:val="PageNumber"/>
        <w:sz w:val="20"/>
        <w:szCs w:val="20"/>
      </w:rPr>
      <w:fldChar w:fldCharType="begin"/>
    </w:r>
    <w:r w:rsidRPr="00E8133C">
      <w:rPr>
        <w:rStyle w:val="PageNumber"/>
        <w:sz w:val="20"/>
        <w:szCs w:val="20"/>
      </w:rPr>
      <w:instrText xml:space="preserve"> PAGE </w:instrText>
    </w:r>
    <w:r w:rsidRPr="00E8133C">
      <w:rPr>
        <w:rStyle w:val="PageNumber"/>
        <w:sz w:val="20"/>
        <w:szCs w:val="20"/>
      </w:rPr>
      <w:fldChar w:fldCharType="separate"/>
    </w:r>
    <w:r w:rsidR="00CF3099">
      <w:rPr>
        <w:rStyle w:val="PageNumber"/>
        <w:noProof/>
        <w:sz w:val="20"/>
        <w:szCs w:val="20"/>
      </w:rPr>
      <w:t>1</w:t>
    </w:r>
    <w:r w:rsidRPr="00E8133C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75" w:rsidRDefault="00464975">
    <w:pPr>
      <w:pBdr>
        <w:bottom w:val="single" w:sz="12" w:space="0" w:color="auto"/>
      </w:pBdr>
      <w:rPr>
        <w:sz w:val="20"/>
      </w:rPr>
    </w:pPr>
  </w:p>
  <w:p w:rsidR="00464975" w:rsidRDefault="00464975">
    <w:pPr>
      <w:jc w:val="center"/>
      <w:rPr>
        <w:b/>
        <w:bCs/>
      </w:rPr>
    </w:pPr>
  </w:p>
  <w:p w:rsidR="00464975" w:rsidRDefault="00464975">
    <w:pPr>
      <w:tabs>
        <w:tab w:val="left" w:pos="2340"/>
      </w:tabs>
      <w:jc w:val="center"/>
      <w:rPr>
        <w:b/>
        <w:bCs/>
      </w:rPr>
    </w:pPr>
    <w:r>
      <w:rPr>
        <w:b/>
        <w:bCs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b/>
        <w:bCs/>
      </w:rPr>
      <w:t xml:space="preserve"> -</w:t>
    </w:r>
  </w:p>
  <w:p w:rsidR="00464975" w:rsidRDefault="00464975">
    <w:pPr>
      <w:tabs>
        <w:tab w:val="left" w:pos="2340"/>
      </w:tabs>
      <w:jc w:val="center"/>
      <w:rPr>
        <w:sz w:val="20"/>
      </w:rPr>
    </w:pPr>
    <w:r>
      <w:rPr>
        <w:sz w:val="20"/>
      </w:rPr>
      <w:t xml:space="preserve"> </w:t>
    </w:r>
  </w:p>
  <w:p w:rsidR="00464975" w:rsidRDefault="00464975">
    <w:pPr>
      <w:tabs>
        <w:tab w:val="left" w:pos="2340"/>
      </w:tabs>
      <w:jc w:val="center"/>
      <w:rPr>
        <w:sz w:val="20"/>
      </w:rPr>
    </w:pPr>
    <w:r>
      <w:rPr>
        <w:sz w:val="20"/>
      </w:rPr>
      <w:t>The NACHC Corporate Compliance Development Program</w:t>
    </w:r>
  </w:p>
  <w:p w:rsidR="00464975" w:rsidRDefault="00464975">
    <w:pPr>
      <w:tabs>
        <w:tab w:val="left" w:pos="2340"/>
      </w:tabs>
      <w:jc w:val="center"/>
      <w:rPr>
        <w:sz w:val="20"/>
      </w:rPr>
    </w:pPr>
    <w:r>
      <w:rPr>
        <w:sz w:val="20"/>
      </w:rPr>
      <w:t>Copyright © Corporate Compliance Development LLP, May 2001</w:t>
    </w:r>
  </w:p>
  <w:p w:rsidR="00464975" w:rsidRDefault="00464975">
    <w:pPr>
      <w:pStyle w:val="Footer"/>
      <w:tabs>
        <w:tab w:val="left" w:pos="2340"/>
      </w:tabs>
      <w:rPr>
        <w:sz w:val="20"/>
      </w:rPr>
    </w:pPr>
  </w:p>
  <w:p w:rsidR="00464975" w:rsidRDefault="00464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64" w:rsidRDefault="007F5664">
      <w:r>
        <w:separator/>
      </w:r>
    </w:p>
  </w:footnote>
  <w:footnote w:type="continuationSeparator" w:id="0">
    <w:p w:rsidR="007F5664" w:rsidRDefault="007F5664">
      <w:r>
        <w:continuationSeparator/>
      </w:r>
    </w:p>
  </w:footnote>
  <w:footnote w:id="1">
    <w:p w:rsidR="00464975" w:rsidRPr="00D404F1" w:rsidRDefault="00464975" w:rsidP="006925B3">
      <w:pPr>
        <w:pStyle w:val="FootnoteText"/>
        <w:ind w:left="360" w:hanging="360"/>
      </w:pPr>
      <w:r>
        <w:rPr>
          <w:rStyle w:val="FootnoteReference"/>
        </w:rPr>
        <w:footnoteRef/>
      </w:r>
      <w:r w:rsidR="00B45165">
        <w:tab/>
      </w:r>
      <w:r w:rsidR="00C54040" w:rsidRPr="00403C01">
        <w:t>The Authors of these materials include attorneys at the law firm of Felde</w:t>
      </w:r>
      <w:r w:rsidR="00C54040">
        <w:t xml:space="preserve">sman Tucker Leifer Fidell LLP. </w:t>
      </w:r>
      <w:r w:rsidR="00C54040" w:rsidRPr="00403C01">
        <w:t xml:space="preserve">The </w:t>
      </w:r>
      <w:r w:rsidR="00C54040" w:rsidRPr="00D46C87">
        <w:t>sample documents</w:t>
      </w:r>
      <w:r w:rsidR="00C54040" w:rsidRPr="00403C01">
        <w:t xml:space="preserve"> offer general guidance based on federal law and regulations and do not necessarily apply to all </w:t>
      </w:r>
      <w:r w:rsidR="00C4767C">
        <w:t>PCAs-HCCNs</w:t>
      </w:r>
      <w:r w:rsidR="00C54040" w:rsidRPr="00403C01">
        <w:t xml:space="preserve"> under all facts and</w:t>
      </w:r>
      <w:r w:rsidR="00C54040">
        <w:t xml:space="preserve"> circumstances. </w:t>
      </w:r>
      <w:r w:rsidR="00C54040" w:rsidRPr="00403C01">
        <w:t>Further, these materials do not replace, and are not a substitute for, legal advice from qualified legal counsel</w:t>
      </w:r>
      <w:r w:rsidR="00B4516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75" w:rsidRDefault="004649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975" w:rsidRDefault="004649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49" w:rsidRDefault="00AE2C49" w:rsidP="00AE2C49">
    <w:pPr>
      <w:jc w:val="center"/>
      <w:rPr>
        <w:sz w:val="20"/>
      </w:rPr>
    </w:pPr>
    <w:r>
      <w:rPr>
        <w:sz w:val="20"/>
      </w:rPr>
      <w:t xml:space="preserve">Volume I: </w:t>
    </w:r>
    <w:r w:rsidR="00B45165">
      <w:rPr>
        <w:sz w:val="20"/>
      </w:rPr>
      <w:t xml:space="preserve"> </w:t>
    </w:r>
    <w:r w:rsidRPr="003D14AA">
      <w:rPr>
        <w:sz w:val="20"/>
      </w:rPr>
      <w:t xml:space="preserve">Elements of </w:t>
    </w:r>
    <w:r>
      <w:rPr>
        <w:sz w:val="20"/>
      </w:rPr>
      <w:t xml:space="preserve">an </w:t>
    </w:r>
    <w:r w:rsidRPr="003D14AA">
      <w:rPr>
        <w:sz w:val="20"/>
      </w:rPr>
      <w:t xml:space="preserve">Effective </w:t>
    </w:r>
    <w:r>
      <w:rPr>
        <w:sz w:val="20"/>
      </w:rPr>
      <w:t>Compliance Program</w:t>
    </w:r>
  </w:p>
  <w:p w:rsidR="00AE2C49" w:rsidRDefault="00AE2C49" w:rsidP="00AE2C49">
    <w:pPr>
      <w:pBdr>
        <w:bottom w:val="single" w:sz="12" w:space="0" w:color="auto"/>
      </w:pBdr>
      <w:jc w:val="center"/>
      <w:rPr>
        <w:sz w:val="20"/>
      </w:rPr>
    </w:pPr>
    <w:r>
      <w:rPr>
        <w:sz w:val="20"/>
      </w:rPr>
      <w:t>Conducting Appropriate Training and Education</w:t>
    </w:r>
  </w:p>
  <w:p w:rsidR="00464975" w:rsidRPr="00F354EE" w:rsidRDefault="00464975" w:rsidP="00CB51A0">
    <w:pPr>
      <w:pBdr>
        <w:bottom w:val="single" w:sz="12" w:space="0" w:color="auto"/>
      </w:pBdr>
      <w:jc w:val="center"/>
      <w:rPr>
        <w:sz w:val="20"/>
      </w:rPr>
    </w:pPr>
  </w:p>
  <w:p w:rsidR="00464975" w:rsidRDefault="004649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75" w:rsidRDefault="00464975">
    <w:pPr>
      <w:jc w:val="center"/>
      <w:rPr>
        <w:sz w:val="20"/>
      </w:rPr>
    </w:pPr>
    <w:r>
      <w:rPr>
        <w:sz w:val="20"/>
      </w:rPr>
      <w:t>Phase I: Corporate Compliance Program Framework Tools</w:t>
    </w:r>
  </w:p>
  <w:p w:rsidR="00464975" w:rsidRDefault="00464975">
    <w:pPr>
      <w:jc w:val="center"/>
      <w:rPr>
        <w:sz w:val="20"/>
      </w:rPr>
    </w:pPr>
    <w:r>
      <w:rPr>
        <w:sz w:val="20"/>
      </w:rPr>
      <w:t>Conducting Appropriate Training and Education</w:t>
    </w:r>
  </w:p>
  <w:p w:rsidR="00464975" w:rsidRDefault="00464975">
    <w:pPr>
      <w:pBdr>
        <w:bottom w:val="single" w:sz="12" w:space="0" w:color="auto"/>
      </w:pBdr>
      <w:rPr>
        <w:sz w:val="20"/>
      </w:rPr>
    </w:pPr>
  </w:p>
  <w:p w:rsidR="00464975" w:rsidRDefault="00464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5C2"/>
    <w:multiLevelType w:val="hybridMultilevel"/>
    <w:tmpl w:val="B13821E6"/>
    <w:lvl w:ilvl="0" w:tplc="5C3249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36AC4"/>
    <w:multiLevelType w:val="hybridMultilevel"/>
    <w:tmpl w:val="622A50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4F7ECB"/>
    <w:multiLevelType w:val="hybridMultilevel"/>
    <w:tmpl w:val="192621CC"/>
    <w:lvl w:ilvl="0" w:tplc="5C3249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2174B"/>
    <w:multiLevelType w:val="hybridMultilevel"/>
    <w:tmpl w:val="76F89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F210E2"/>
    <w:multiLevelType w:val="hybridMultilevel"/>
    <w:tmpl w:val="87E25BF4"/>
    <w:lvl w:ilvl="0" w:tplc="003E91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9242EE7"/>
    <w:multiLevelType w:val="hybridMultilevel"/>
    <w:tmpl w:val="E1FC2066"/>
    <w:lvl w:ilvl="0" w:tplc="B5AAB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14"/>
    <w:rsid w:val="000B3903"/>
    <w:rsid w:val="000C483C"/>
    <w:rsid w:val="00114F73"/>
    <w:rsid w:val="00140058"/>
    <w:rsid w:val="002346AB"/>
    <w:rsid w:val="00241F39"/>
    <w:rsid w:val="002A25E4"/>
    <w:rsid w:val="00322B19"/>
    <w:rsid w:val="003772BB"/>
    <w:rsid w:val="00426DC9"/>
    <w:rsid w:val="00464975"/>
    <w:rsid w:val="004C633A"/>
    <w:rsid w:val="004E528C"/>
    <w:rsid w:val="00510014"/>
    <w:rsid w:val="00561F24"/>
    <w:rsid w:val="0064730E"/>
    <w:rsid w:val="00657300"/>
    <w:rsid w:val="006925B3"/>
    <w:rsid w:val="00754C19"/>
    <w:rsid w:val="00796EFF"/>
    <w:rsid w:val="007F5664"/>
    <w:rsid w:val="008E3B99"/>
    <w:rsid w:val="00901126"/>
    <w:rsid w:val="00913E92"/>
    <w:rsid w:val="009273A7"/>
    <w:rsid w:val="00A635AD"/>
    <w:rsid w:val="00AE2C49"/>
    <w:rsid w:val="00B45165"/>
    <w:rsid w:val="00BE5DFC"/>
    <w:rsid w:val="00BF5A05"/>
    <w:rsid w:val="00C4767C"/>
    <w:rsid w:val="00C54040"/>
    <w:rsid w:val="00CB051C"/>
    <w:rsid w:val="00CB120C"/>
    <w:rsid w:val="00CB51A0"/>
    <w:rsid w:val="00CF3099"/>
    <w:rsid w:val="00D16D28"/>
    <w:rsid w:val="00D404F1"/>
    <w:rsid w:val="00D917E8"/>
    <w:rsid w:val="00E257B1"/>
    <w:rsid w:val="00E30DBA"/>
    <w:rsid w:val="00E8133C"/>
    <w:rsid w:val="00EE25F8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ind w:firstLine="3600"/>
      <w:outlineLvl w:val="3"/>
    </w:pPr>
    <w:rPr>
      <w:b/>
      <w:spacing w:val="-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2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Cs/>
      <w:spacing w:val="-3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/>
      <w:spacing w:val="-3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bCs/>
      <w:i/>
      <w:iCs/>
      <w:spacing w:val="-3"/>
    </w:rPr>
  </w:style>
  <w:style w:type="paragraph" w:styleId="BodyText">
    <w:name w:val="Body Text"/>
    <w:basedOn w:val="Normal"/>
    <w:pPr>
      <w:jc w:val="both"/>
    </w:pPr>
    <w:rPr>
      <w:b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96E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30D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ind w:firstLine="3600"/>
      <w:outlineLvl w:val="3"/>
    </w:pPr>
    <w:rPr>
      <w:b/>
      <w:spacing w:val="-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2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Cs/>
      <w:spacing w:val="-3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/>
      <w:spacing w:val="-3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bCs/>
      <w:i/>
      <w:iCs/>
      <w:spacing w:val="-3"/>
    </w:rPr>
  </w:style>
  <w:style w:type="paragraph" w:styleId="BodyText">
    <w:name w:val="Body Text"/>
    <w:basedOn w:val="Normal"/>
    <w:pPr>
      <w:jc w:val="both"/>
    </w:pPr>
    <w:rPr>
      <w:b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96E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30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Feldesman, Tucker, Leifer, Fidell &amp; Bank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Administrator</dc:creator>
  <cp:lastModifiedBy>Zimbro, Karen</cp:lastModifiedBy>
  <cp:revision>3</cp:revision>
  <cp:lastPrinted>2015-10-27T14:25:00Z</cp:lastPrinted>
  <dcterms:created xsi:type="dcterms:W3CDTF">2015-10-27T14:23:00Z</dcterms:created>
  <dcterms:modified xsi:type="dcterms:W3CDTF">2015-10-27T14:26:00Z</dcterms:modified>
</cp:coreProperties>
</file>