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4C5" w:rsidRPr="00B460FE" w:rsidRDefault="0072051A" w:rsidP="005554C5">
      <w:pPr>
        <w:jc w:val="center"/>
        <w:rPr>
          <w:spacing w:val="0"/>
          <w:kern w:val="2"/>
          <w:sz w:val="32"/>
          <w:szCs w:val="32"/>
        </w:rPr>
      </w:pPr>
      <w:r w:rsidRPr="00B460FE">
        <w:rPr>
          <w:b/>
          <w:spacing w:val="0"/>
          <w:kern w:val="2"/>
          <w:sz w:val="32"/>
          <w:szCs w:val="32"/>
        </w:rPr>
        <w:t xml:space="preserve">Centralized and </w:t>
      </w:r>
      <w:r w:rsidR="005554C5" w:rsidRPr="00B460FE">
        <w:rPr>
          <w:b/>
          <w:spacing w:val="0"/>
          <w:kern w:val="2"/>
          <w:sz w:val="32"/>
          <w:szCs w:val="32"/>
        </w:rPr>
        <w:t>Joint Operational Activities</w:t>
      </w:r>
      <w:r w:rsidR="001B639F" w:rsidRPr="00B460FE">
        <w:rPr>
          <w:b/>
          <w:spacing w:val="0"/>
          <w:kern w:val="2"/>
          <w:sz w:val="32"/>
          <w:szCs w:val="32"/>
        </w:rPr>
        <w:t xml:space="preserve">: </w:t>
      </w:r>
      <w:r w:rsidR="008A78AB" w:rsidRPr="00B460FE">
        <w:rPr>
          <w:b/>
          <w:spacing w:val="0"/>
          <w:kern w:val="2"/>
          <w:sz w:val="32"/>
          <w:szCs w:val="32"/>
        </w:rPr>
        <w:br/>
      </w:r>
      <w:r w:rsidR="001B639F" w:rsidRPr="00B460FE">
        <w:rPr>
          <w:b/>
          <w:spacing w:val="0"/>
          <w:kern w:val="2"/>
          <w:sz w:val="32"/>
          <w:szCs w:val="32"/>
        </w:rPr>
        <w:t>Introductory Guidance</w:t>
      </w:r>
    </w:p>
    <w:p w:rsidR="005554C5" w:rsidRPr="00B460FE" w:rsidRDefault="005554C5" w:rsidP="005554C5">
      <w:pPr>
        <w:pBdr>
          <w:bottom w:val="single" w:sz="12" w:space="1" w:color="auto"/>
        </w:pBdr>
        <w:autoSpaceDE w:val="0"/>
        <w:autoSpaceDN w:val="0"/>
        <w:adjustRightInd w:val="0"/>
        <w:ind w:right="-20"/>
        <w:rPr>
          <w:b/>
          <w:bCs w:val="0"/>
          <w:spacing w:val="0"/>
          <w:kern w:val="2"/>
        </w:rPr>
      </w:pPr>
    </w:p>
    <w:p w:rsidR="00C15F69" w:rsidRPr="00B460FE" w:rsidRDefault="00C15F69" w:rsidP="00C15F69">
      <w:pPr>
        <w:rPr>
          <w:spacing w:val="0"/>
          <w:kern w:val="2"/>
        </w:rPr>
      </w:pPr>
    </w:p>
    <w:p w:rsidR="00C15F69" w:rsidRPr="00B460FE" w:rsidRDefault="001B639F" w:rsidP="008A78AB">
      <w:pPr>
        <w:jc w:val="both"/>
        <w:rPr>
          <w:b/>
          <w:spacing w:val="0"/>
          <w:kern w:val="2"/>
        </w:rPr>
      </w:pPr>
      <w:r w:rsidRPr="00B460FE">
        <w:rPr>
          <w:b/>
          <w:spacing w:val="0"/>
          <w:kern w:val="2"/>
        </w:rPr>
        <w:t>Background</w:t>
      </w:r>
    </w:p>
    <w:p w:rsidR="00C15F69" w:rsidRPr="00B460FE" w:rsidRDefault="00C15F69" w:rsidP="008A78AB">
      <w:pPr>
        <w:jc w:val="both"/>
        <w:rPr>
          <w:spacing w:val="0"/>
          <w:kern w:val="2"/>
        </w:rPr>
      </w:pPr>
    </w:p>
    <w:p w:rsidR="00C15F69" w:rsidRPr="00B460FE" w:rsidRDefault="001B639F" w:rsidP="008A78AB">
      <w:pPr>
        <w:jc w:val="both"/>
        <w:rPr>
          <w:spacing w:val="0"/>
          <w:kern w:val="2"/>
        </w:rPr>
      </w:pPr>
      <w:r w:rsidRPr="00B460FE">
        <w:rPr>
          <w:spacing w:val="0"/>
          <w:kern w:val="2"/>
        </w:rPr>
        <w:t xml:space="preserve">Many </w:t>
      </w:r>
      <w:r w:rsidR="00C15F69" w:rsidRPr="00B460FE">
        <w:rPr>
          <w:spacing w:val="0"/>
          <w:kern w:val="2"/>
        </w:rPr>
        <w:t>PCAs</w:t>
      </w:r>
      <w:r w:rsidRPr="00B460FE">
        <w:rPr>
          <w:spacing w:val="0"/>
          <w:kern w:val="2"/>
        </w:rPr>
        <w:t>-HCCNs</w:t>
      </w:r>
      <w:r w:rsidR="00C15F69" w:rsidRPr="00B460FE">
        <w:rPr>
          <w:spacing w:val="0"/>
          <w:kern w:val="2"/>
        </w:rPr>
        <w:t xml:space="preserve"> centralize and integrate certain functions and responsibilities previously performed by their m</w:t>
      </w:r>
      <w:r w:rsidR="00FA7BF3" w:rsidRPr="00B460FE">
        <w:rPr>
          <w:spacing w:val="0"/>
          <w:kern w:val="2"/>
        </w:rPr>
        <w:t xml:space="preserve">embers on an individual basis. </w:t>
      </w:r>
      <w:r w:rsidR="00C15F69" w:rsidRPr="00B460FE">
        <w:rPr>
          <w:spacing w:val="0"/>
          <w:kern w:val="2"/>
        </w:rPr>
        <w:t xml:space="preserve">The range of </w:t>
      </w:r>
      <w:r w:rsidR="00FA7BF3" w:rsidRPr="00B460FE">
        <w:rPr>
          <w:spacing w:val="0"/>
          <w:kern w:val="2"/>
        </w:rPr>
        <w:t xml:space="preserve">centralized and </w:t>
      </w:r>
      <w:r w:rsidR="00C15F69" w:rsidRPr="00B460FE">
        <w:rPr>
          <w:spacing w:val="0"/>
          <w:kern w:val="2"/>
        </w:rPr>
        <w:t>joint operati</w:t>
      </w:r>
      <w:r w:rsidR="00FA7BF3" w:rsidRPr="00B460FE">
        <w:rPr>
          <w:spacing w:val="0"/>
          <w:kern w:val="2"/>
        </w:rPr>
        <w:t xml:space="preserve">onal activities conducted by </w:t>
      </w:r>
      <w:r w:rsidR="00C15F69" w:rsidRPr="00B460FE">
        <w:rPr>
          <w:spacing w:val="0"/>
          <w:kern w:val="2"/>
        </w:rPr>
        <w:t>PCAs</w:t>
      </w:r>
      <w:r w:rsidR="00FA7BF3" w:rsidRPr="00B460FE">
        <w:rPr>
          <w:spacing w:val="0"/>
          <w:kern w:val="2"/>
        </w:rPr>
        <w:t>-HCCNs</w:t>
      </w:r>
      <w:r w:rsidR="00C15F69" w:rsidRPr="00B460FE">
        <w:rPr>
          <w:spacing w:val="0"/>
          <w:kern w:val="2"/>
        </w:rPr>
        <w:t xml:space="preserve"> on behalf of their members is very broad and the legal considerations regarding such activities depend upon the requirements of the specific activity being performed.</w:t>
      </w:r>
    </w:p>
    <w:p w:rsidR="00C15F69" w:rsidRPr="00B460FE" w:rsidRDefault="00C15F69" w:rsidP="008A78AB">
      <w:pPr>
        <w:ind w:firstLine="720"/>
        <w:jc w:val="both"/>
        <w:rPr>
          <w:spacing w:val="0"/>
          <w:kern w:val="2"/>
        </w:rPr>
      </w:pPr>
    </w:p>
    <w:p w:rsidR="00C15F69" w:rsidRPr="00B460FE" w:rsidRDefault="00FA7BF3" w:rsidP="008A78AB">
      <w:pPr>
        <w:jc w:val="both"/>
        <w:rPr>
          <w:spacing w:val="0"/>
          <w:kern w:val="2"/>
        </w:rPr>
      </w:pPr>
      <w:r w:rsidRPr="00B460FE">
        <w:rPr>
          <w:spacing w:val="0"/>
          <w:kern w:val="2"/>
        </w:rPr>
        <w:t xml:space="preserve">If, for example, a </w:t>
      </w:r>
      <w:r w:rsidR="00C15F69" w:rsidRPr="00B460FE">
        <w:rPr>
          <w:spacing w:val="0"/>
          <w:kern w:val="2"/>
        </w:rPr>
        <w:t>PCA</w:t>
      </w:r>
      <w:r w:rsidRPr="00B460FE">
        <w:rPr>
          <w:spacing w:val="0"/>
          <w:kern w:val="2"/>
        </w:rPr>
        <w:t>-HCCN</w:t>
      </w:r>
      <w:r w:rsidR="00C15F69" w:rsidRPr="00B460FE">
        <w:rPr>
          <w:spacing w:val="0"/>
          <w:kern w:val="2"/>
        </w:rPr>
        <w:t xml:space="preserve"> intends to e</w:t>
      </w:r>
      <w:r w:rsidRPr="00B460FE">
        <w:rPr>
          <w:spacing w:val="0"/>
          <w:kern w:val="2"/>
        </w:rPr>
        <w:t>ngage in group purchasing, the PCA-HCCN must consider liability under</w:t>
      </w:r>
      <w:r w:rsidR="00F21039" w:rsidRPr="00B460FE">
        <w:rPr>
          <w:spacing w:val="0"/>
          <w:kern w:val="2"/>
        </w:rPr>
        <w:t xml:space="preserve"> the f</w:t>
      </w:r>
      <w:r w:rsidR="00936F2D" w:rsidRPr="00B460FE">
        <w:rPr>
          <w:spacing w:val="0"/>
          <w:kern w:val="2"/>
        </w:rPr>
        <w:t>ederal Anti-K</w:t>
      </w:r>
      <w:r w:rsidRPr="00B460FE">
        <w:rPr>
          <w:spacing w:val="0"/>
          <w:kern w:val="2"/>
        </w:rPr>
        <w:t>ickback Act</w:t>
      </w:r>
      <w:r w:rsidR="00A64E08" w:rsidRPr="00B460FE">
        <w:rPr>
          <w:spacing w:val="0"/>
          <w:kern w:val="2"/>
        </w:rPr>
        <w:t>.</w:t>
      </w:r>
      <w:r w:rsidRPr="00B460FE">
        <w:rPr>
          <w:rStyle w:val="FootnoteReference"/>
          <w:spacing w:val="0"/>
          <w:kern w:val="2"/>
        </w:rPr>
        <w:footnoteReference w:id="1"/>
      </w:r>
      <w:r w:rsidRPr="00B460FE">
        <w:rPr>
          <w:spacing w:val="0"/>
          <w:kern w:val="2"/>
        </w:rPr>
        <w:t xml:space="preserve"> </w:t>
      </w:r>
      <w:r w:rsidR="002E4A25" w:rsidRPr="00B460FE">
        <w:rPr>
          <w:spacing w:val="0"/>
          <w:kern w:val="2"/>
        </w:rPr>
        <w:t xml:space="preserve">If a </w:t>
      </w:r>
      <w:r w:rsidR="00C15F69" w:rsidRPr="00B460FE">
        <w:rPr>
          <w:spacing w:val="0"/>
          <w:kern w:val="2"/>
        </w:rPr>
        <w:t>PCA</w:t>
      </w:r>
      <w:r w:rsidR="002E4A25" w:rsidRPr="00B460FE">
        <w:rPr>
          <w:spacing w:val="0"/>
          <w:kern w:val="2"/>
        </w:rPr>
        <w:t>-HCCN</w:t>
      </w:r>
      <w:r w:rsidR="00C15F69" w:rsidRPr="00B460FE">
        <w:rPr>
          <w:spacing w:val="0"/>
          <w:kern w:val="2"/>
        </w:rPr>
        <w:t xml:space="preserve"> intends to act on behalf of its health center members with respect to HIPAA covered transactions (e.g., billing and claims processing), HIPAA requires that the HIPAA-covered entity (in this case, each participating health center) execute a Business </w:t>
      </w:r>
      <w:r w:rsidR="002E4A25" w:rsidRPr="00B460FE">
        <w:rPr>
          <w:spacing w:val="0"/>
          <w:kern w:val="2"/>
        </w:rPr>
        <w:t xml:space="preserve">Associate Agreement with the </w:t>
      </w:r>
      <w:r w:rsidR="00C15F69" w:rsidRPr="00B460FE">
        <w:rPr>
          <w:spacing w:val="0"/>
          <w:kern w:val="2"/>
        </w:rPr>
        <w:t>PCA</w:t>
      </w:r>
      <w:r w:rsidR="002E4A25" w:rsidRPr="00B460FE">
        <w:rPr>
          <w:spacing w:val="0"/>
          <w:kern w:val="2"/>
        </w:rPr>
        <w:t>-HCCN</w:t>
      </w:r>
      <w:r w:rsidR="00C15F69" w:rsidRPr="00B460FE">
        <w:rPr>
          <w:spacing w:val="0"/>
          <w:kern w:val="2"/>
        </w:rPr>
        <w:t xml:space="preserve"> to ensure the privacy and confidentiality of any patient</w:t>
      </w:r>
      <w:r w:rsidR="002E4A25" w:rsidRPr="00B460FE">
        <w:rPr>
          <w:spacing w:val="0"/>
          <w:kern w:val="2"/>
        </w:rPr>
        <w:t xml:space="preserve"> information obtained by the </w:t>
      </w:r>
      <w:r w:rsidR="00C15F69" w:rsidRPr="00B460FE">
        <w:rPr>
          <w:spacing w:val="0"/>
          <w:kern w:val="2"/>
        </w:rPr>
        <w:t>PCA</w:t>
      </w:r>
      <w:r w:rsidR="002E4A25" w:rsidRPr="00B460FE">
        <w:rPr>
          <w:spacing w:val="0"/>
          <w:kern w:val="2"/>
        </w:rPr>
        <w:t>-HCCN</w:t>
      </w:r>
      <w:r w:rsidR="00C15F69" w:rsidRPr="00B460FE">
        <w:rPr>
          <w:spacing w:val="0"/>
          <w:kern w:val="2"/>
        </w:rPr>
        <w:t xml:space="preserve"> in performing services for the health centers.</w:t>
      </w:r>
    </w:p>
    <w:p w:rsidR="00C15F69" w:rsidRPr="00B460FE" w:rsidRDefault="00C15F69" w:rsidP="008A78AB">
      <w:pPr>
        <w:ind w:firstLine="720"/>
        <w:jc w:val="both"/>
        <w:rPr>
          <w:spacing w:val="0"/>
          <w:kern w:val="2"/>
        </w:rPr>
      </w:pPr>
    </w:p>
    <w:p w:rsidR="00C15F69" w:rsidRPr="00B460FE" w:rsidRDefault="002E4A25" w:rsidP="008A78AB">
      <w:pPr>
        <w:jc w:val="both"/>
        <w:rPr>
          <w:spacing w:val="0"/>
          <w:kern w:val="2"/>
        </w:rPr>
      </w:pPr>
      <w:r w:rsidRPr="00B460FE">
        <w:rPr>
          <w:spacing w:val="0"/>
          <w:kern w:val="2"/>
        </w:rPr>
        <w:t>In addition, t</w:t>
      </w:r>
      <w:r w:rsidR="00D26D01" w:rsidRPr="00B460FE">
        <w:rPr>
          <w:spacing w:val="0"/>
          <w:kern w:val="2"/>
        </w:rPr>
        <w:t>here are certain</w:t>
      </w:r>
      <w:r w:rsidR="00C15F69" w:rsidRPr="00B460FE">
        <w:rPr>
          <w:spacing w:val="0"/>
          <w:kern w:val="2"/>
        </w:rPr>
        <w:t xml:space="preserve"> legal </w:t>
      </w:r>
      <w:r w:rsidR="002A5BA3" w:rsidRPr="00B460FE">
        <w:rPr>
          <w:spacing w:val="0"/>
          <w:kern w:val="2"/>
        </w:rPr>
        <w:t xml:space="preserve">and policy </w:t>
      </w:r>
      <w:r w:rsidR="00C15F69" w:rsidRPr="00B460FE">
        <w:rPr>
          <w:spacing w:val="0"/>
          <w:kern w:val="2"/>
        </w:rPr>
        <w:t>requirements that arise in connection with the provision of centralized c</w:t>
      </w:r>
      <w:r w:rsidRPr="00B460FE">
        <w:rPr>
          <w:spacing w:val="0"/>
          <w:kern w:val="2"/>
        </w:rPr>
        <w:t xml:space="preserve">redentialing services by the </w:t>
      </w:r>
      <w:r w:rsidR="00C15F69" w:rsidRPr="00B460FE">
        <w:rPr>
          <w:spacing w:val="0"/>
          <w:kern w:val="2"/>
        </w:rPr>
        <w:t>PCA</w:t>
      </w:r>
      <w:r w:rsidRPr="00B460FE">
        <w:rPr>
          <w:spacing w:val="0"/>
          <w:kern w:val="2"/>
        </w:rPr>
        <w:t xml:space="preserve">-HCCN. </w:t>
      </w:r>
      <w:r w:rsidR="006D052C" w:rsidRPr="00B460FE">
        <w:rPr>
          <w:spacing w:val="0"/>
          <w:kern w:val="2"/>
        </w:rPr>
        <w:t xml:space="preserve">In particular, if a </w:t>
      </w:r>
      <w:r w:rsidR="00C15F69" w:rsidRPr="00B460FE">
        <w:rPr>
          <w:spacing w:val="0"/>
          <w:kern w:val="2"/>
        </w:rPr>
        <w:t>PCA</w:t>
      </w:r>
      <w:r w:rsidR="006D052C" w:rsidRPr="00B460FE">
        <w:rPr>
          <w:spacing w:val="0"/>
          <w:kern w:val="2"/>
        </w:rPr>
        <w:t>-HCCN</w:t>
      </w:r>
      <w:r w:rsidR="00C15F69" w:rsidRPr="00B460FE">
        <w:rPr>
          <w:spacing w:val="0"/>
          <w:kern w:val="2"/>
        </w:rPr>
        <w:t xml:space="preserve"> intends to provide credentialing services to it</w:t>
      </w:r>
      <w:r w:rsidR="006D052C" w:rsidRPr="00B460FE">
        <w:rPr>
          <w:spacing w:val="0"/>
          <w:kern w:val="2"/>
        </w:rPr>
        <w:t xml:space="preserve">s member health centers, the </w:t>
      </w:r>
      <w:r w:rsidR="00C15F69" w:rsidRPr="00B460FE">
        <w:rPr>
          <w:spacing w:val="0"/>
          <w:kern w:val="2"/>
        </w:rPr>
        <w:t>PCA</w:t>
      </w:r>
      <w:r w:rsidR="006D052C" w:rsidRPr="00B460FE">
        <w:rPr>
          <w:spacing w:val="0"/>
          <w:kern w:val="2"/>
        </w:rPr>
        <w:t>-HCCN</w:t>
      </w:r>
      <w:r w:rsidR="00C15F69" w:rsidRPr="00B460FE">
        <w:rPr>
          <w:spacing w:val="0"/>
          <w:kern w:val="2"/>
        </w:rPr>
        <w:t xml:space="preserve"> needs to be familiar with the credentialing requirements of the Bureau of Primary Health</w:t>
      </w:r>
      <w:r w:rsidR="00EE222F" w:rsidRPr="00B460FE">
        <w:rPr>
          <w:spacing w:val="0"/>
          <w:kern w:val="2"/>
        </w:rPr>
        <w:t xml:space="preserve"> Care (“BPHC”), t</w:t>
      </w:r>
      <w:r w:rsidR="00C15F69" w:rsidRPr="00B460FE">
        <w:rPr>
          <w:spacing w:val="0"/>
          <w:kern w:val="2"/>
        </w:rPr>
        <w:t>he Joint Commission</w:t>
      </w:r>
      <w:r w:rsidR="006A57C3" w:rsidRPr="00B460FE">
        <w:rPr>
          <w:spacing w:val="0"/>
          <w:kern w:val="2"/>
        </w:rPr>
        <w:t xml:space="preserve"> and the National </w:t>
      </w:r>
      <w:r w:rsidR="002A5BA3" w:rsidRPr="00B460FE">
        <w:rPr>
          <w:spacing w:val="0"/>
          <w:kern w:val="2"/>
        </w:rPr>
        <w:t xml:space="preserve">Committee for </w:t>
      </w:r>
      <w:r w:rsidR="006A57C3" w:rsidRPr="00B460FE">
        <w:rPr>
          <w:spacing w:val="0"/>
          <w:kern w:val="2"/>
        </w:rPr>
        <w:t>Quality</w:t>
      </w:r>
      <w:r w:rsidR="002A5BA3" w:rsidRPr="00B460FE">
        <w:rPr>
          <w:spacing w:val="0"/>
          <w:kern w:val="2"/>
        </w:rPr>
        <w:t xml:space="preserve"> Assurance (“NCQA”)</w:t>
      </w:r>
      <w:r w:rsidR="00C15F69" w:rsidRPr="00B460FE">
        <w:rPr>
          <w:spacing w:val="0"/>
          <w:kern w:val="2"/>
        </w:rPr>
        <w:t xml:space="preserve">.  </w:t>
      </w:r>
    </w:p>
    <w:p w:rsidR="00C15F69" w:rsidRPr="00B460FE" w:rsidRDefault="00C15F69" w:rsidP="008A78AB">
      <w:pPr>
        <w:ind w:firstLine="720"/>
        <w:jc w:val="both"/>
        <w:rPr>
          <w:spacing w:val="0"/>
          <w:kern w:val="2"/>
        </w:rPr>
      </w:pPr>
    </w:p>
    <w:p w:rsidR="00E552D2" w:rsidRPr="00B460FE" w:rsidRDefault="00EE222F" w:rsidP="00542576">
      <w:pPr>
        <w:pStyle w:val="ListParagraph"/>
        <w:numPr>
          <w:ilvl w:val="0"/>
          <w:numId w:val="3"/>
        </w:numPr>
        <w:ind w:left="1080"/>
        <w:jc w:val="both"/>
        <w:rPr>
          <w:spacing w:val="0"/>
          <w:kern w:val="2"/>
        </w:rPr>
      </w:pPr>
      <w:bookmarkStart w:id="0" w:name="_GoBack"/>
      <w:bookmarkEnd w:id="0"/>
      <w:r w:rsidRPr="00B460FE">
        <w:rPr>
          <w:spacing w:val="0"/>
          <w:kern w:val="2"/>
        </w:rPr>
        <w:t>B</w:t>
      </w:r>
      <w:r w:rsidR="00F7529D" w:rsidRPr="00B460FE">
        <w:rPr>
          <w:spacing w:val="0"/>
          <w:kern w:val="2"/>
        </w:rPr>
        <w:t>PHC</w:t>
      </w:r>
      <w:r w:rsidRPr="00B460FE">
        <w:rPr>
          <w:spacing w:val="0"/>
          <w:kern w:val="2"/>
        </w:rPr>
        <w:t xml:space="preserve">: </w:t>
      </w:r>
      <w:r w:rsidR="00E552D2" w:rsidRPr="00B460FE">
        <w:rPr>
          <w:spacing w:val="0"/>
          <w:kern w:val="2"/>
        </w:rPr>
        <w:t>HRSA policy on credentialing and privileging can be found in the two Policy Information Notices (PINs):</w:t>
      </w:r>
    </w:p>
    <w:p w:rsidR="00E552D2" w:rsidRPr="00B460FE" w:rsidRDefault="00E552D2" w:rsidP="008A78AB">
      <w:pPr>
        <w:jc w:val="both"/>
        <w:rPr>
          <w:spacing w:val="0"/>
          <w:kern w:val="2"/>
        </w:rPr>
      </w:pPr>
    </w:p>
    <w:p w:rsidR="00E552D2" w:rsidRPr="00B460FE" w:rsidRDefault="009B3121" w:rsidP="00542576">
      <w:pPr>
        <w:pStyle w:val="ListParagraph"/>
        <w:numPr>
          <w:ilvl w:val="0"/>
          <w:numId w:val="2"/>
        </w:numPr>
        <w:ind w:left="1440"/>
        <w:jc w:val="both"/>
        <w:rPr>
          <w:spacing w:val="0"/>
          <w:kern w:val="2"/>
        </w:rPr>
      </w:pPr>
      <w:hyperlink r:id="rId9" w:history="1">
        <w:r w:rsidR="00E552D2" w:rsidRPr="00B460FE">
          <w:rPr>
            <w:rStyle w:val="Hyperlink"/>
            <w:spacing w:val="0"/>
            <w:kern w:val="2"/>
          </w:rPr>
          <w:t xml:space="preserve">PIN 2001-16 </w:t>
        </w:r>
        <w:r w:rsidR="00E552D2" w:rsidRPr="00B460FE">
          <w:rPr>
            <w:rStyle w:val="Hyperlink"/>
            <w:i/>
            <w:spacing w:val="0"/>
            <w:kern w:val="2"/>
          </w:rPr>
          <w:t xml:space="preserve">Credentialing and Privileging of Health Center Practitioners </w:t>
        </w:r>
        <w:r w:rsidR="00E552D2" w:rsidRPr="00B460FE">
          <w:rPr>
            <w:rStyle w:val="Hyperlink"/>
            <w:spacing w:val="0"/>
            <w:kern w:val="2"/>
          </w:rPr>
          <w:t>(July 17, 2001)</w:t>
        </w:r>
      </w:hyperlink>
    </w:p>
    <w:p w:rsidR="00E552D2" w:rsidRPr="00B460FE" w:rsidRDefault="009B3121" w:rsidP="00542576">
      <w:pPr>
        <w:pStyle w:val="ListParagraph"/>
        <w:numPr>
          <w:ilvl w:val="0"/>
          <w:numId w:val="2"/>
        </w:numPr>
        <w:ind w:left="1440"/>
        <w:jc w:val="both"/>
        <w:rPr>
          <w:spacing w:val="0"/>
          <w:kern w:val="2"/>
        </w:rPr>
      </w:pPr>
      <w:hyperlink r:id="rId10" w:history="1">
        <w:r w:rsidR="00E552D2" w:rsidRPr="00B460FE">
          <w:rPr>
            <w:rStyle w:val="Hyperlink"/>
            <w:spacing w:val="0"/>
            <w:kern w:val="2"/>
          </w:rPr>
          <w:t xml:space="preserve">PIN 2002-22 </w:t>
        </w:r>
        <w:r w:rsidR="00E552D2" w:rsidRPr="00B460FE">
          <w:rPr>
            <w:rStyle w:val="Hyperlink"/>
            <w:i/>
            <w:spacing w:val="0"/>
            <w:kern w:val="2"/>
          </w:rPr>
          <w:t xml:space="preserve">Clarification of Bureau of Primary Health Care Credentialing and Privileging Policy Outlined in Policy Information Notice 2001-16 </w:t>
        </w:r>
        <w:r w:rsidR="00E552D2" w:rsidRPr="00B460FE">
          <w:rPr>
            <w:rStyle w:val="Hyperlink"/>
            <w:spacing w:val="0"/>
            <w:kern w:val="2"/>
          </w:rPr>
          <w:t>(July 10, 2002)</w:t>
        </w:r>
      </w:hyperlink>
    </w:p>
    <w:p w:rsidR="00E552D2" w:rsidRPr="00B460FE" w:rsidRDefault="00E552D2" w:rsidP="008A78AB">
      <w:pPr>
        <w:ind w:firstLine="720"/>
        <w:jc w:val="both"/>
        <w:rPr>
          <w:spacing w:val="0"/>
          <w:kern w:val="2"/>
        </w:rPr>
      </w:pPr>
    </w:p>
    <w:p w:rsidR="00CD281F" w:rsidRPr="00B460FE" w:rsidRDefault="00E552D2" w:rsidP="008A78AB">
      <w:pPr>
        <w:ind w:left="720"/>
        <w:jc w:val="both"/>
        <w:rPr>
          <w:spacing w:val="0"/>
          <w:kern w:val="2"/>
        </w:rPr>
      </w:pPr>
      <w:r w:rsidRPr="00B460FE">
        <w:rPr>
          <w:spacing w:val="0"/>
          <w:kern w:val="2"/>
        </w:rPr>
        <w:t>These PINs</w:t>
      </w:r>
      <w:r w:rsidR="00C15F69" w:rsidRPr="00B460FE">
        <w:rPr>
          <w:spacing w:val="0"/>
          <w:kern w:val="2"/>
        </w:rPr>
        <w:t xml:space="preserve"> </w:t>
      </w:r>
      <w:r w:rsidR="00D26D01" w:rsidRPr="00B460FE">
        <w:rPr>
          <w:spacing w:val="0"/>
          <w:kern w:val="2"/>
        </w:rPr>
        <w:t xml:space="preserve">require </w:t>
      </w:r>
      <w:r w:rsidR="00C15F69" w:rsidRPr="00B460FE">
        <w:rPr>
          <w:spacing w:val="0"/>
          <w:kern w:val="2"/>
        </w:rPr>
        <w:t>health centers</w:t>
      </w:r>
      <w:r w:rsidR="00D26D01" w:rsidRPr="00B460FE">
        <w:rPr>
          <w:spacing w:val="0"/>
          <w:kern w:val="2"/>
        </w:rPr>
        <w:t xml:space="preserve"> to</w:t>
      </w:r>
      <w:r w:rsidR="00C15F69" w:rsidRPr="00B460FE">
        <w:rPr>
          <w:spacing w:val="0"/>
          <w:kern w:val="2"/>
        </w:rPr>
        <w:t xml:space="preserve"> credential </w:t>
      </w:r>
      <w:r w:rsidR="00D26D01" w:rsidRPr="00B460FE">
        <w:rPr>
          <w:spacing w:val="0"/>
          <w:kern w:val="2"/>
        </w:rPr>
        <w:t xml:space="preserve">and privilege </w:t>
      </w:r>
      <w:r w:rsidR="00C15F69" w:rsidRPr="00B460FE">
        <w:rPr>
          <w:spacing w:val="0"/>
          <w:kern w:val="2"/>
        </w:rPr>
        <w:t>each of their</w:t>
      </w:r>
      <w:r w:rsidR="00D26D01" w:rsidRPr="00B460FE">
        <w:rPr>
          <w:spacing w:val="0"/>
          <w:kern w:val="2"/>
        </w:rPr>
        <w:t xml:space="preserve"> licensed or otherwise certified</w:t>
      </w:r>
      <w:r w:rsidR="00C15F69" w:rsidRPr="00B460FE">
        <w:rPr>
          <w:spacing w:val="0"/>
          <w:kern w:val="2"/>
        </w:rPr>
        <w:t xml:space="preserve"> practitioners (both employed and contracted) prior to f</w:t>
      </w:r>
      <w:r w:rsidR="00CD281F" w:rsidRPr="00B460FE">
        <w:rPr>
          <w:spacing w:val="0"/>
          <w:kern w:val="2"/>
        </w:rPr>
        <w:t>urnishing patient care services</w:t>
      </w:r>
      <w:r w:rsidR="00C15F69" w:rsidRPr="00B460FE">
        <w:rPr>
          <w:spacing w:val="0"/>
          <w:kern w:val="2"/>
        </w:rPr>
        <w:t xml:space="preserve"> </w:t>
      </w:r>
      <w:r w:rsidR="00D26D01" w:rsidRPr="00B460FE">
        <w:rPr>
          <w:spacing w:val="0"/>
          <w:kern w:val="2"/>
        </w:rPr>
        <w:t xml:space="preserve">and to </w:t>
      </w:r>
      <w:r w:rsidR="00C15F69" w:rsidRPr="00B460FE">
        <w:rPr>
          <w:spacing w:val="0"/>
          <w:kern w:val="2"/>
        </w:rPr>
        <w:t>re-privilege at least every two years (which process necessarily entails re-checking credentials, including primary source verification of ex</w:t>
      </w:r>
      <w:r w:rsidR="00CD281F" w:rsidRPr="00B460FE">
        <w:rPr>
          <w:spacing w:val="0"/>
          <w:kern w:val="2"/>
        </w:rPr>
        <w:t>piring or expired credentials).</w:t>
      </w:r>
      <w:r w:rsidR="00C15F69" w:rsidRPr="00B460FE">
        <w:rPr>
          <w:spacing w:val="0"/>
          <w:kern w:val="2"/>
        </w:rPr>
        <w:t xml:space="preserve"> While not specifically identified in the PIN</w:t>
      </w:r>
      <w:r w:rsidR="00D26D01" w:rsidRPr="00B460FE">
        <w:rPr>
          <w:spacing w:val="0"/>
          <w:kern w:val="2"/>
        </w:rPr>
        <w:t>s</w:t>
      </w:r>
      <w:r w:rsidR="00C15F69" w:rsidRPr="00B460FE">
        <w:rPr>
          <w:spacing w:val="0"/>
          <w:kern w:val="2"/>
        </w:rPr>
        <w:t xml:space="preserve">, an important part of the credentialing process requires a review of the Office of Inspector </w:t>
      </w:r>
      <w:r w:rsidR="00C15F69" w:rsidRPr="00B460FE">
        <w:rPr>
          <w:spacing w:val="0"/>
          <w:kern w:val="2"/>
        </w:rPr>
        <w:lastRenderedPageBreak/>
        <w:t xml:space="preserve">General (“OIG”) list of individuals and entities </w:t>
      </w:r>
      <w:r w:rsidR="00936F2D" w:rsidRPr="00B460FE">
        <w:rPr>
          <w:spacing w:val="0"/>
          <w:kern w:val="2"/>
        </w:rPr>
        <w:t>excluded from participating in f</w:t>
      </w:r>
      <w:r w:rsidR="00CD281F" w:rsidRPr="00B460FE">
        <w:rPr>
          <w:spacing w:val="0"/>
          <w:kern w:val="2"/>
        </w:rPr>
        <w:t>ederal health care programs.</w:t>
      </w:r>
    </w:p>
    <w:p w:rsidR="00CD281F" w:rsidRPr="00B460FE" w:rsidRDefault="00CD281F" w:rsidP="008A78AB">
      <w:pPr>
        <w:jc w:val="both"/>
        <w:rPr>
          <w:spacing w:val="0"/>
          <w:kern w:val="2"/>
        </w:rPr>
      </w:pPr>
    </w:p>
    <w:p w:rsidR="00EE222F" w:rsidRPr="00B460FE" w:rsidRDefault="00D26D01" w:rsidP="00542576">
      <w:pPr>
        <w:pStyle w:val="ListParagraph"/>
        <w:numPr>
          <w:ilvl w:val="0"/>
          <w:numId w:val="4"/>
        </w:numPr>
        <w:ind w:left="1080"/>
        <w:jc w:val="both"/>
        <w:rPr>
          <w:spacing w:val="0"/>
          <w:kern w:val="2"/>
        </w:rPr>
      </w:pPr>
      <w:r w:rsidRPr="00B460FE">
        <w:rPr>
          <w:spacing w:val="0"/>
          <w:kern w:val="2"/>
        </w:rPr>
        <w:t>The Joint Commission’s ambulatory care s</w:t>
      </w:r>
      <w:r w:rsidR="00C15F69" w:rsidRPr="00B460FE">
        <w:rPr>
          <w:spacing w:val="0"/>
          <w:kern w:val="2"/>
        </w:rPr>
        <w:t>tandard</w:t>
      </w:r>
      <w:r w:rsidR="006A57C3" w:rsidRPr="00B460FE">
        <w:rPr>
          <w:spacing w:val="0"/>
          <w:kern w:val="2"/>
        </w:rPr>
        <w:t xml:space="preserve">s </w:t>
      </w:r>
      <w:r w:rsidRPr="00B460FE">
        <w:rPr>
          <w:spacing w:val="0"/>
          <w:kern w:val="2"/>
        </w:rPr>
        <w:t>require</w:t>
      </w:r>
      <w:r w:rsidR="00C15F69" w:rsidRPr="00B460FE">
        <w:rPr>
          <w:spacing w:val="0"/>
          <w:kern w:val="2"/>
        </w:rPr>
        <w:t xml:space="preserve"> health care organizations</w:t>
      </w:r>
      <w:r w:rsidRPr="00B460FE">
        <w:rPr>
          <w:spacing w:val="0"/>
          <w:kern w:val="2"/>
        </w:rPr>
        <w:t xml:space="preserve"> to</w:t>
      </w:r>
      <w:r w:rsidR="00C15F69" w:rsidRPr="00B460FE">
        <w:rPr>
          <w:spacing w:val="0"/>
          <w:kern w:val="2"/>
        </w:rPr>
        <w:t xml:space="preserve"> review “core criteria” such as current licensure, relevant education, training, or experience, current competence and performance every two years</w:t>
      </w:r>
      <w:r w:rsidR="00CD281F" w:rsidRPr="00B460FE">
        <w:rPr>
          <w:spacing w:val="0"/>
          <w:kern w:val="2"/>
        </w:rPr>
        <w:t>.</w:t>
      </w:r>
      <w:r w:rsidRPr="00B460FE">
        <w:rPr>
          <w:spacing w:val="0"/>
          <w:kern w:val="2"/>
        </w:rPr>
        <w:t xml:space="preserve"> The Joint Commission also requires </w:t>
      </w:r>
      <w:r w:rsidR="00C15F69" w:rsidRPr="00B460FE">
        <w:rPr>
          <w:spacing w:val="0"/>
          <w:kern w:val="2"/>
        </w:rPr>
        <w:t>that each provider’s license to practice</w:t>
      </w:r>
      <w:r w:rsidR="00936F2D" w:rsidRPr="00B460FE">
        <w:rPr>
          <w:spacing w:val="0"/>
          <w:kern w:val="2"/>
        </w:rPr>
        <w:t xml:space="preserve"> be verified with the relevant s</w:t>
      </w:r>
      <w:r w:rsidR="00C15F69" w:rsidRPr="00B460FE">
        <w:rPr>
          <w:spacing w:val="0"/>
          <w:kern w:val="2"/>
        </w:rPr>
        <w:t>tate licensing authority.</w:t>
      </w:r>
      <w:r w:rsidR="006A57C3" w:rsidRPr="00B460FE">
        <w:rPr>
          <w:spacing w:val="0"/>
          <w:kern w:val="2"/>
        </w:rPr>
        <w:t xml:space="preserve"> </w:t>
      </w:r>
    </w:p>
    <w:p w:rsidR="00EE222F" w:rsidRPr="00B460FE" w:rsidRDefault="00EE222F" w:rsidP="00542576">
      <w:pPr>
        <w:pStyle w:val="ListParagraph"/>
        <w:ind w:left="1080"/>
        <w:jc w:val="both"/>
        <w:rPr>
          <w:spacing w:val="0"/>
          <w:kern w:val="2"/>
        </w:rPr>
      </w:pPr>
    </w:p>
    <w:p w:rsidR="00C15F69" w:rsidRPr="00B460FE" w:rsidRDefault="009E3911" w:rsidP="00542576">
      <w:pPr>
        <w:pStyle w:val="ListParagraph"/>
        <w:numPr>
          <w:ilvl w:val="0"/>
          <w:numId w:val="4"/>
        </w:numPr>
        <w:ind w:left="1080"/>
        <w:jc w:val="both"/>
        <w:rPr>
          <w:spacing w:val="0"/>
          <w:kern w:val="2"/>
        </w:rPr>
      </w:pPr>
      <w:r w:rsidRPr="00B460FE">
        <w:rPr>
          <w:spacing w:val="0"/>
          <w:kern w:val="2"/>
        </w:rPr>
        <w:t>R</w:t>
      </w:r>
      <w:r w:rsidR="002A5BA3" w:rsidRPr="00B460FE">
        <w:rPr>
          <w:spacing w:val="0"/>
          <w:kern w:val="2"/>
        </w:rPr>
        <w:t>ecognition under the NCQA Patient-Centered Medical Home (“PCMH”) initiat</w:t>
      </w:r>
      <w:r w:rsidRPr="00B460FE">
        <w:rPr>
          <w:spacing w:val="0"/>
          <w:kern w:val="2"/>
        </w:rPr>
        <w:t>ive or other accreditation,</w:t>
      </w:r>
      <w:r w:rsidR="002A5BA3" w:rsidRPr="00B460FE">
        <w:rPr>
          <w:spacing w:val="0"/>
          <w:kern w:val="2"/>
        </w:rPr>
        <w:t xml:space="preserve"> include</w:t>
      </w:r>
      <w:r w:rsidRPr="00B460FE">
        <w:rPr>
          <w:spacing w:val="0"/>
          <w:kern w:val="2"/>
        </w:rPr>
        <w:t>s</w:t>
      </w:r>
      <w:r w:rsidR="002A5BA3" w:rsidRPr="00B460FE">
        <w:rPr>
          <w:spacing w:val="0"/>
          <w:kern w:val="2"/>
        </w:rPr>
        <w:t xml:space="preserve"> specific requirements that should be considered prior to developing centralized credentialing services. </w:t>
      </w:r>
    </w:p>
    <w:p w:rsidR="00077A6D" w:rsidRPr="00B460FE" w:rsidRDefault="00077A6D" w:rsidP="008A78AB">
      <w:pPr>
        <w:ind w:firstLine="720"/>
        <w:jc w:val="both"/>
        <w:rPr>
          <w:spacing w:val="0"/>
          <w:kern w:val="2"/>
        </w:rPr>
      </w:pPr>
    </w:p>
    <w:p w:rsidR="005B78B3" w:rsidRPr="00B460FE" w:rsidRDefault="00077A6D" w:rsidP="008A78AB">
      <w:pPr>
        <w:jc w:val="both"/>
        <w:rPr>
          <w:spacing w:val="0"/>
          <w:kern w:val="2"/>
        </w:rPr>
      </w:pPr>
      <w:r w:rsidRPr="00B460FE">
        <w:rPr>
          <w:spacing w:val="0"/>
          <w:kern w:val="2"/>
        </w:rPr>
        <w:t>Regardless of the type of centralized or joint operation</w:t>
      </w:r>
      <w:r w:rsidR="009E3911" w:rsidRPr="00B460FE">
        <w:rPr>
          <w:spacing w:val="0"/>
          <w:kern w:val="2"/>
        </w:rPr>
        <w:t xml:space="preserve">al activity performed by the </w:t>
      </w:r>
      <w:r w:rsidRPr="00B460FE">
        <w:rPr>
          <w:spacing w:val="0"/>
          <w:kern w:val="2"/>
        </w:rPr>
        <w:t>PCA</w:t>
      </w:r>
      <w:r w:rsidR="009E3911" w:rsidRPr="00B460FE">
        <w:rPr>
          <w:spacing w:val="0"/>
          <w:kern w:val="2"/>
        </w:rPr>
        <w:t>-HCCN</w:t>
      </w:r>
      <w:r w:rsidRPr="00B460FE">
        <w:rPr>
          <w:spacing w:val="0"/>
          <w:kern w:val="2"/>
        </w:rPr>
        <w:t>, it is important to consider the limitations or restricti</w:t>
      </w:r>
      <w:r w:rsidR="00E45481" w:rsidRPr="00B460FE">
        <w:rPr>
          <w:spacing w:val="0"/>
          <w:kern w:val="2"/>
        </w:rPr>
        <w:t xml:space="preserve">ons on the federal funds the </w:t>
      </w:r>
      <w:r w:rsidRPr="00B460FE">
        <w:rPr>
          <w:spacing w:val="0"/>
          <w:kern w:val="2"/>
        </w:rPr>
        <w:t>PCA</w:t>
      </w:r>
      <w:r w:rsidR="00E45481" w:rsidRPr="00B460FE">
        <w:rPr>
          <w:spacing w:val="0"/>
          <w:kern w:val="2"/>
        </w:rPr>
        <w:t>-HCCN</w:t>
      </w:r>
      <w:r w:rsidRPr="00B460FE">
        <w:rPr>
          <w:spacing w:val="0"/>
          <w:kern w:val="2"/>
        </w:rPr>
        <w:t xml:space="preserve"> r</w:t>
      </w:r>
      <w:r w:rsidR="00E45481" w:rsidRPr="00B460FE">
        <w:rPr>
          <w:spacing w:val="0"/>
          <w:kern w:val="2"/>
        </w:rPr>
        <w:t>eceives from HRSA</w:t>
      </w:r>
      <w:r w:rsidRPr="00B460FE">
        <w:rPr>
          <w:spacing w:val="0"/>
          <w:kern w:val="2"/>
        </w:rPr>
        <w:t xml:space="preserve"> and to ensure that such funds are not used to support </w:t>
      </w:r>
      <w:r w:rsidR="004D4116" w:rsidRPr="00B460FE">
        <w:rPr>
          <w:spacing w:val="0"/>
          <w:kern w:val="2"/>
        </w:rPr>
        <w:t xml:space="preserve">unallowable </w:t>
      </w:r>
      <w:r w:rsidRPr="00B460FE">
        <w:rPr>
          <w:spacing w:val="0"/>
          <w:kern w:val="2"/>
        </w:rPr>
        <w:t xml:space="preserve">activities.  Typically, HRSA funds are awarded to support technical assistance and training </w:t>
      </w:r>
      <w:r w:rsidR="004D4116" w:rsidRPr="00B460FE">
        <w:rPr>
          <w:spacing w:val="0"/>
          <w:kern w:val="2"/>
        </w:rPr>
        <w:t>activities for both existing Section 330 grantees and FQHC look-alikes as well as other safety net organizations</w:t>
      </w:r>
      <w:r w:rsidRPr="00B460FE">
        <w:rPr>
          <w:spacing w:val="0"/>
          <w:kern w:val="2"/>
        </w:rPr>
        <w:t>.</w:t>
      </w:r>
      <w:r w:rsidR="00F3384A" w:rsidRPr="00B460FE">
        <w:rPr>
          <w:spacing w:val="0"/>
          <w:kern w:val="2"/>
        </w:rPr>
        <w:t xml:space="preserve">  The</w:t>
      </w:r>
      <w:r w:rsidR="007D5295" w:rsidRPr="00B460FE">
        <w:rPr>
          <w:spacing w:val="0"/>
          <w:kern w:val="2"/>
        </w:rPr>
        <w:t xml:space="preserve"> BPHC Primary Care Association Guide </w:t>
      </w:r>
      <w:r w:rsidR="00F3384A" w:rsidRPr="00B460FE">
        <w:rPr>
          <w:spacing w:val="0"/>
          <w:kern w:val="2"/>
        </w:rPr>
        <w:t>2012-2013</w:t>
      </w:r>
      <w:r w:rsidR="000368AC" w:rsidRPr="00B460FE">
        <w:rPr>
          <w:rStyle w:val="FootnoteReference"/>
          <w:spacing w:val="0"/>
          <w:kern w:val="2"/>
        </w:rPr>
        <w:footnoteReference w:id="2"/>
      </w:r>
      <w:r w:rsidR="00F3384A" w:rsidRPr="00B460FE">
        <w:rPr>
          <w:spacing w:val="0"/>
          <w:kern w:val="2"/>
        </w:rPr>
        <w:t xml:space="preserve"> </w:t>
      </w:r>
      <w:r w:rsidR="00957ED1" w:rsidRPr="00B460FE">
        <w:rPr>
          <w:spacing w:val="0"/>
          <w:kern w:val="2"/>
        </w:rPr>
        <w:t>states</w:t>
      </w:r>
      <w:r w:rsidR="00A42AAE" w:rsidRPr="00B460FE">
        <w:rPr>
          <w:spacing w:val="0"/>
          <w:kern w:val="2"/>
        </w:rPr>
        <w:t xml:space="preserve"> that the </w:t>
      </w:r>
      <w:r w:rsidR="00957ED1" w:rsidRPr="00B460FE">
        <w:rPr>
          <w:spacing w:val="0"/>
          <w:kern w:val="2"/>
        </w:rPr>
        <w:t>PCA</w:t>
      </w:r>
      <w:r w:rsidR="003A6553" w:rsidRPr="00B460FE">
        <w:rPr>
          <w:spacing w:val="0"/>
          <w:kern w:val="2"/>
        </w:rPr>
        <w:t>-HCCN</w:t>
      </w:r>
      <w:r w:rsidR="00957ED1" w:rsidRPr="00B460FE">
        <w:rPr>
          <w:spacing w:val="0"/>
          <w:kern w:val="2"/>
        </w:rPr>
        <w:t xml:space="preserve"> should</w:t>
      </w:r>
      <w:r w:rsidR="005B78B3" w:rsidRPr="00B460FE">
        <w:rPr>
          <w:spacing w:val="0"/>
          <w:kern w:val="2"/>
        </w:rPr>
        <w:t>,</w:t>
      </w:r>
    </w:p>
    <w:p w:rsidR="005B78B3" w:rsidRPr="00B460FE" w:rsidRDefault="005B78B3" w:rsidP="008A78AB">
      <w:pPr>
        <w:jc w:val="both"/>
        <w:rPr>
          <w:spacing w:val="0"/>
          <w:kern w:val="2"/>
        </w:rPr>
      </w:pPr>
    </w:p>
    <w:p w:rsidR="005B78B3" w:rsidRPr="00B460FE" w:rsidRDefault="00957ED1" w:rsidP="008A78AB">
      <w:pPr>
        <w:ind w:left="720"/>
        <w:jc w:val="both"/>
        <w:rPr>
          <w:spacing w:val="0"/>
          <w:kern w:val="2"/>
        </w:rPr>
      </w:pPr>
      <w:r w:rsidRPr="00B460FE">
        <w:rPr>
          <w:spacing w:val="0"/>
          <w:kern w:val="2"/>
        </w:rPr>
        <w:t xml:space="preserve">[S]upport the provision of high quality patient care and enhance the operations and clinical and financial performance of existing health centers in the state/region through </w:t>
      </w:r>
      <w:r w:rsidRPr="00B460FE">
        <w:rPr>
          <w:i/>
          <w:spacing w:val="0"/>
          <w:kern w:val="2"/>
        </w:rPr>
        <w:t xml:space="preserve">annual statewide/regional Performance Improvement T/TA activities </w:t>
      </w:r>
      <w:r w:rsidRPr="00B460FE">
        <w:rPr>
          <w:spacing w:val="0"/>
          <w:kern w:val="2"/>
        </w:rPr>
        <w:t>as outlined in the application or negotiated with the Proje</w:t>
      </w:r>
      <w:r w:rsidR="002C2136" w:rsidRPr="00B460FE">
        <w:rPr>
          <w:spacing w:val="0"/>
          <w:kern w:val="2"/>
        </w:rPr>
        <w:t>ct Officer (two required areas). (emphasis added)</w:t>
      </w:r>
      <w:r w:rsidRPr="00B460FE">
        <w:rPr>
          <w:spacing w:val="0"/>
          <w:kern w:val="2"/>
        </w:rPr>
        <w:t xml:space="preserve">  </w:t>
      </w:r>
    </w:p>
    <w:p w:rsidR="005B78B3" w:rsidRPr="00B460FE" w:rsidRDefault="005B78B3" w:rsidP="008A78AB">
      <w:pPr>
        <w:jc w:val="both"/>
        <w:rPr>
          <w:spacing w:val="0"/>
          <w:kern w:val="2"/>
        </w:rPr>
      </w:pPr>
    </w:p>
    <w:p w:rsidR="00957ED1" w:rsidRPr="00B460FE" w:rsidRDefault="00957ED1" w:rsidP="008A78AB">
      <w:pPr>
        <w:jc w:val="both"/>
        <w:rPr>
          <w:spacing w:val="0"/>
          <w:kern w:val="2"/>
        </w:rPr>
      </w:pPr>
      <w:r w:rsidRPr="00B460FE">
        <w:rPr>
          <w:spacing w:val="0"/>
          <w:kern w:val="2"/>
        </w:rPr>
        <w:t>While joint credentialing activities support high quality patient care and enhance operations</w:t>
      </w:r>
      <w:r w:rsidR="003B6773" w:rsidRPr="00B460FE">
        <w:rPr>
          <w:spacing w:val="0"/>
          <w:kern w:val="2"/>
        </w:rPr>
        <w:t xml:space="preserve"> for the </w:t>
      </w:r>
      <w:r w:rsidRPr="00B460FE">
        <w:rPr>
          <w:spacing w:val="0"/>
          <w:kern w:val="2"/>
        </w:rPr>
        <w:t>PCA</w:t>
      </w:r>
      <w:r w:rsidR="003A6553" w:rsidRPr="00B460FE">
        <w:rPr>
          <w:spacing w:val="0"/>
          <w:kern w:val="2"/>
        </w:rPr>
        <w:t>-HCCN</w:t>
      </w:r>
      <w:r w:rsidRPr="00B460FE">
        <w:rPr>
          <w:spacing w:val="0"/>
          <w:kern w:val="2"/>
        </w:rPr>
        <w:t xml:space="preserve">’s members, technically such activities would be </w:t>
      </w:r>
      <w:r w:rsidR="00275130" w:rsidRPr="00B460FE">
        <w:rPr>
          <w:spacing w:val="0"/>
          <w:kern w:val="2"/>
        </w:rPr>
        <w:t xml:space="preserve">considered </w:t>
      </w:r>
      <w:r w:rsidR="003B6773" w:rsidRPr="00B460FE">
        <w:rPr>
          <w:spacing w:val="0"/>
          <w:kern w:val="2"/>
        </w:rPr>
        <w:t xml:space="preserve">a “product” offered by the </w:t>
      </w:r>
      <w:r w:rsidRPr="00B460FE">
        <w:rPr>
          <w:spacing w:val="0"/>
          <w:kern w:val="2"/>
        </w:rPr>
        <w:t>PCA</w:t>
      </w:r>
      <w:r w:rsidR="003A6553" w:rsidRPr="00B460FE">
        <w:rPr>
          <w:spacing w:val="0"/>
          <w:kern w:val="2"/>
        </w:rPr>
        <w:t>-HCCN</w:t>
      </w:r>
      <w:r w:rsidRPr="00B460FE">
        <w:rPr>
          <w:spacing w:val="0"/>
          <w:kern w:val="2"/>
        </w:rPr>
        <w:t xml:space="preserve"> </w:t>
      </w:r>
      <w:r w:rsidR="00275130" w:rsidRPr="00B460FE">
        <w:rPr>
          <w:spacing w:val="0"/>
          <w:kern w:val="2"/>
        </w:rPr>
        <w:t xml:space="preserve">rather than </w:t>
      </w:r>
      <w:r w:rsidRPr="00B460FE">
        <w:rPr>
          <w:spacing w:val="0"/>
          <w:kern w:val="2"/>
        </w:rPr>
        <w:t>technical assistance and training.  Further, activities supported by HRSA funds must be available without regard to whether an org</w:t>
      </w:r>
      <w:r w:rsidR="003B6773" w:rsidRPr="00B460FE">
        <w:rPr>
          <w:spacing w:val="0"/>
          <w:kern w:val="2"/>
        </w:rPr>
        <w:t xml:space="preserve">anization is a member of the </w:t>
      </w:r>
      <w:r w:rsidRPr="00B460FE">
        <w:rPr>
          <w:spacing w:val="0"/>
          <w:kern w:val="2"/>
        </w:rPr>
        <w:t>PCA</w:t>
      </w:r>
      <w:r w:rsidR="003A6553" w:rsidRPr="00B460FE">
        <w:rPr>
          <w:spacing w:val="0"/>
          <w:kern w:val="2"/>
        </w:rPr>
        <w:t>-HCCN, “r</w:t>
      </w:r>
      <w:r w:rsidRPr="00B460FE">
        <w:rPr>
          <w:rFonts w:eastAsiaTheme="minorEastAsia" w:cstheme="minorHAnsi"/>
          <w:color w:val="000000"/>
          <w:spacing w:val="0"/>
          <w:kern w:val="2"/>
        </w:rPr>
        <w:t>ecipients of this co-operative agreement should provide equal access to T/TA services without regard to State/Regional Prim</w:t>
      </w:r>
      <w:r w:rsidR="003B6773" w:rsidRPr="00B460FE">
        <w:rPr>
          <w:rFonts w:eastAsiaTheme="minorEastAsia" w:cstheme="minorHAnsi"/>
          <w:color w:val="000000"/>
          <w:spacing w:val="0"/>
          <w:kern w:val="2"/>
        </w:rPr>
        <w:t>ary Care Association membership</w:t>
      </w:r>
      <w:r w:rsidR="005B78B3" w:rsidRPr="00B460FE">
        <w:rPr>
          <w:rFonts w:eastAsiaTheme="minorEastAsia" w:cstheme="minorHAnsi"/>
          <w:color w:val="000000"/>
          <w:spacing w:val="0"/>
          <w:kern w:val="2"/>
        </w:rPr>
        <w:t>.</w:t>
      </w:r>
      <w:r w:rsidR="003A6553" w:rsidRPr="00B460FE">
        <w:rPr>
          <w:rFonts w:eastAsiaTheme="minorEastAsia" w:cstheme="minorHAnsi"/>
          <w:color w:val="000000"/>
          <w:spacing w:val="0"/>
          <w:kern w:val="2"/>
        </w:rPr>
        <w:t>”</w:t>
      </w:r>
      <w:r w:rsidR="002C2136" w:rsidRPr="00B460FE">
        <w:rPr>
          <w:rStyle w:val="FootnoteReference"/>
          <w:rFonts w:eastAsiaTheme="minorEastAsia" w:cstheme="minorHAnsi"/>
          <w:color w:val="000000"/>
          <w:spacing w:val="0"/>
          <w:kern w:val="2"/>
        </w:rPr>
        <w:footnoteReference w:id="3"/>
      </w:r>
    </w:p>
    <w:p w:rsidR="00C15F69" w:rsidRPr="00B460FE" w:rsidRDefault="004D4116" w:rsidP="008A78AB">
      <w:pPr>
        <w:ind w:firstLine="720"/>
        <w:jc w:val="both"/>
        <w:rPr>
          <w:spacing w:val="0"/>
          <w:kern w:val="2"/>
        </w:rPr>
      </w:pPr>
      <w:r w:rsidRPr="00B460FE">
        <w:rPr>
          <w:spacing w:val="0"/>
          <w:kern w:val="2"/>
        </w:rPr>
        <w:t xml:space="preserve"> </w:t>
      </w:r>
    </w:p>
    <w:p w:rsidR="00C15F69" w:rsidRPr="00B460FE" w:rsidRDefault="00732848" w:rsidP="008A78AB">
      <w:pPr>
        <w:jc w:val="both"/>
        <w:rPr>
          <w:spacing w:val="0"/>
          <w:kern w:val="2"/>
        </w:rPr>
      </w:pPr>
      <w:r w:rsidRPr="00B460FE">
        <w:rPr>
          <w:b/>
          <w:spacing w:val="0"/>
          <w:kern w:val="2"/>
        </w:rPr>
        <w:t>Advice and Recommendations</w:t>
      </w:r>
      <w:r w:rsidR="00D77237" w:rsidRPr="00B460FE">
        <w:rPr>
          <w:rStyle w:val="FootnoteReference"/>
          <w:b/>
          <w:spacing w:val="0"/>
          <w:kern w:val="2"/>
        </w:rPr>
        <w:footnoteReference w:id="4"/>
      </w:r>
    </w:p>
    <w:p w:rsidR="00C15F69" w:rsidRPr="00B460FE" w:rsidRDefault="00C15F69" w:rsidP="008A78AB">
      <w:pPr>
        <w:jc w:val="both"/>
        <w:rPr>
          <w:spacing w:val="0"/>
          <w:kern w:val="2"/>
        </w:rPr>
      </w:pPr>
    </w:p>
    <w:p w:rsidR="00C15F69" w:rsidRPr="00B460FE" w:rsidRDefault="003B6773" w:rsidP="008A78AB">
      <w:pPr>
        <w:jc w:val="both"/>
        <w:rPr>
          <w:spacing w:val="0"/>
          <w:kern w:val="2"/>
        </w:rPr>
      </w:pPr>
      <w:r w:rsidRPr="00B460FE">
        <w:rPr>
          <w:spacing w:val="0"/>
          <w:kern w:val="2"/>
        </w:rPr>
        <w:t xml:space="preserve">Each centralized and </w:t>
      </w:r>
      <w:r w:rsidR="00C15F69" w:rsidRPr="00B460FE">
        <w:rPr>
          <w:spacing w:val="0"/>
          <w:kern w:val="2"/>
        </w:rPr>
        <w:t>joint ope</w:t>
      </w:r>
      <w:r w:rsidR="00D26D01" w:rsidRPr="00B460FE">
        <w:rPr>
          <w:spacing w:val="0"/>
          <w:kern w:val="2"/>
        </w:rPr>
        <w:t xml:space="preserve">rational activity presents </w:t>
      </w:r>
      <w:r w:rsidR="00C15F69" w:rsidRPr="00B460FE">
        <w:rPr>
          <w:spacing w:val="0"/>
          <w:kern w:val="2"/>
        </w:rPr>
        <w:t>its own set of</w:t>
      </w:r>
      <w:r w:rsidRPr="00B460FE">
        <w:rPr>
          <w:spacing w:val="0"/>
          <w:kern w:val="2"/>
        </w:rPr>
        <w:t xml:space="preserve"> legal rules and requirements. </w:t>
      </w:r>
      <w:r w:rsidR="00C15F69" w:rsidRPr="00B460FE">
        <w:rPr>
          <w:spacing w:val="0"/>
          <w:kern w:val="2"/>
        </w:rPr>
        <w:t xml:space="preserve">For example, because centralized </w:t>
      </w:r>
      <w:r w:rsidRPr="00B460FE">
        <w:rPr>
          <w:spacing w:val="0"/>
          <w:kern w:val="2"/>
        </w:rPr>
        <w:t xml:space="preserve">billing services require the </w:t>
      </w:r>
      <w:r w:rsidR="00C15F69" w:rsidRPr="00B460FE">
        <w:rPr>
          <w:spacing w:val="0"/>
          <w:kern w:val="2"/>
        </w:rPr>
        <w:t>PCA</w:t>
      </w:r>
      <w:r w:rsidRPr="00B460FE">
        <w:rPr>
          <w:spacing w:val="0"/>
          <w:kern w:val="2"/>
        </w:rPr>
        <w:t>-HCCN</w:t>
      </w:r>
      <w:r w:rsidR="00C15F69" w:rsidRPr="00B460FE">
        <w:rPr>
          <w:spacing w:val="0"/>
          <w:kern w:val="2"/>
        </w:rPr>
        <w:t xml:space="preserve"> to </w:t>
      </w:r>
      <w:r w:rsidR="00C15F69" w:rsidRPr="00B460FE">
        <w:rPr>
          <w:spacing w:val="0"/>
          <w:kern w:val="2"/>
        </w:rPr>
        <w:lastRenderedPageBreak/>
        <w:t xml:space="preserve">execute a Business Associate Agreement with each </w:t>
      </w:r>
      <w:r w:rsidRPr="00B460FE">
        <w:rPr>
          <w:spacing w:val="0"/>
          <w:kern w:val="2"/>
        </w:rPr>
        <w:t xml:space="preserve">participating health center, </w:t>
      </w:r>
      <w:r w:rsidR="00C15F69" w:rsidRPr="00B460FE">
        <w:rPr>
          <w:spacing w:val="0"/>
          <w:kern w:val="2"/>
        </w:rPr>
        <w:t>PCAs</w:t>
      </w:r>
      <w:r w:rsidRPr="00B460FE">
        <w:rPr>
          <w:spacing w:val="0"/>
          <w:kern w:val="2"/>
        </w:rPr>
        <w:t>-HCCNs</w:t>
      </w:r>
      <w:r w:rsidR="00C15F69" w:rsidRPr="00B460FE">
        <w:rPr>
          <w:spacing w:val="0"/>
          <w:kern w:val="2"/>
        </w:rPr>
        <w:t xml:space="preserve"> should be familiar with HIPAA’s privacy and confidentiality requirements</w:t>
      </w:r>
      <w:r w:rsidR="00D26D01" w:rsidRPr="00B460FE">
        <w:rPr>
          <w:spacing w:val="0"/>
          <w:kern w:val="2"/>
        </w:rPr>
        <w:t>, as amended from time to time</w:t>
      </w:r>
      <w:r w:rsidRPr="00B460FE">
        <w:rPr>
          <w:spacing w:val="0"/>
          <w:kern w:val="2"/>
        </w:rPr>
        <w:t xml:space="preserve">. </w:t>
      </w:r>
      <w:r w:rsidR="00D26D01" w:rsidRPr="00B460FE">
        <w:rPr>
          <w:spacing w:val="0"/>
          <w:kern w:val="2"/>
        </w:rPr>
        <w:t>In part</w:t>
      </w:r>
      <w:r w:rsidR="00E313BD" w:rsidRPr="00B460FE">
        <w:rPr>
          <w:spacing w:val="0"/>
          <w:kern w:val="2"/>
        </w:rPr>
        <w:t xml:space="preserve">icular, it is important that </w:t>
      </w:r>
      <w:r w:rsidR="00D26D01" w:rsidRPr="00B460FE">
        <w:rPr>
          <w:spacing w:val="0"/>
          <w:kern w:val="2"/>
        </w:rPr>
        <w:t>PCAs</w:t>
      </w:r>
      <w:r w:rsidR="00E313BD" w:rsidRPr="00B460FE">
        <w:rPr>
          <w:spacing w:val="0"/>
          <w:kern w:val="2"/>
        </w:rPr>
        <w:t>-HCCNs</w:t>
      </w:r>
      <w:r w:rsidR="00D26D01" w:rsidRPr="00B460FE">
        <w:rPr>
          <w:spacing w:val="0"/>
          <w:kern w:val="2"/>
        </w:rPr>
        <w:t xml:space="preserve"> stay up-to-date with current rules regarding </w:t>
      </w:r>
      <w:r w:rsidR="006A57C3" w:rsidRPr="00B460FE">
        <w:rPr>
          <w:spacing w:val="0"/>
          <w:kern w:val="2"/>
        </w:rPr>
        <w:t xml:space="preserve">the responsibilities and potential liabilities of business associates, as well as </w:t>
      </w:r>
      <w:r w:rsidR="00D26D01" w:rsidRPr="00B460FE">
        <w:rPr>
          <w:spacing w:val="0"/>
          <w:kern w:val="2"/>
        </w:rPr>
        <w:t xml:space="preserve">what </w:t>
      </w:r>
      <w:r w:rsidR="006A57C3" w:rsidRPr="00B460FE">
        <w:rPr>
          <w:spacing w:val="0"/>
          <w:kern w:val="2"/>
        </w:rPr>
        <w:t xml:space="preserve">provisions </w:t>
      </w:r>
      <w:r w:rsidR="00D26D01" w:rsidRPr="00B460FE">
        <w:rPr>
          <w:spacing w:val="0"/>
          <w:kern w:val="2"/>
        </w:rPr>
        <w:t xml:space="preserve">must be included in the Business Associate Agreement </w:t>
      </w:r>
      <w:r w:rsidR="006A57C3" w:rsidRPr="00B460FE">
        <w:rPr>
          <w:spacing w:val="0"/>
          <w:kern w:val="2"/>
        </w:rPr>
        <w:t>(</w:t>
      </w:r>
      <w:r w:rsidR="00D26D01" w:rsidRPr="00B460FE">
        <w:rPr>
          <w:spacing w:val="0"/>
          <w:kern w:val="2"/>
        </w:rPr>
        <w:t>and amend it accordingly</w:t>
      </w:r>
      <w:r w:rsidR="006A57C3" w:rsidRPr="00B460FE">
        <w:rPr>
          <w:spacing w:val="0"/>
          <w:kern w:val="2"/>
        </w:rPr>
        <w:t>)</w:t>
      </w:r>
      <w:r w:rsidR="00E313BD" w:rsidRPr="00B460FE">
        <w:rPr>
          <w:spacing w:val="0"/>
          <w:kern w:val="2"/>
        </w:rPr>
        <w:t xml:space="preserve">. </w:t>
      </w:r>
      <w:r w:rsidR="006A57C3" w:rsidRPr="00B460FE">
        <w:rPr>
          <w:spacing w:val="0"/>
          <w:kern w:val="2"/>
        </w:rPr>
        <w:t>For example, a</w:t>
      </w:r>
      <w:r w:rsidR="00E313BD" w:rsidRPr="00B460FE">
        <w:rPr>
          <w:spacing w:val="0"/>
          <w:kern w:val="2"/>
        </w:rPr>
        <w:t xml:space="preserve">lthough the </w:t>
      </w:r>
      <w:r w:rsidR="00C15F69" w:rsidRPr="00B460FE">
        <w:rPr>
          <w:spacing w:val="0"/>
          <w:kern w:val="2"/>
        </w:rPr>
        <w:t>PCA</w:t>
      </w:r>
      <w:r w:rsidR="00E313BD" w:rsidRPr="00B460FE">
        <w:rPr>
          <w:spacing w:val="0"/>
          <w:kern w:val="2"/>
        </w:rPr>
        <w:t>-HCCN itself is not</w:t>
      </w:r>
      <w:r w:rsidR="00C15F69" w:rsidRPr="00B460FE">
        <w:rPr>
          <w:spacing w:val="0"/>
          <w:kern w:val="2"/>
        </w:rPr>
        <w:t xml:space="preserve"> a covered entity, </w:t>
      </w:r>
      <w:r w:rsidR="006A57C3" w:rsidRPr="00B460FE">
        <w:rPr>
          <w:spacing w:val="0"/>
          <w:kern w:val="2"/>
        </w:rPr>
        <w:t xml:space="preserve">the Business Associate Agreement should require the business </w:t>
      </w:r>
      <w:r w:rsidR="00E313BD" w:rsidRPr="00B460FE">
        <w:rPr>
          <w:spacing w:val="0"/>
          <w:kern w:val="2"/>
        </w:rPr>
        <w:t xml:space="preserve">associate (in this case, the </w:t>
      </w:r>
      <w:r w:rsidR="006A57C3" w:rsidRPr="00B460FE">
        <w:rPr>
          <w:spacing w:val="0"/>
          <w:kern w:val="2"/>
        </w:rPr>
        <w:t>PCA</w:t>
      </w:r>
      <w:r w:rsidR="00E313BD" w:rsidRPr="00B460FE">
        <w:rPr>
          <w:spacing w:val="0"/>
          <w:kern w:val="2"/>
        </w:rPr>
        <w:t>-HCCN</w:t>
      </w:r>
      <w:r w:rsidR="006A57C3" w:rsidRPr="00B460FE">
        <w:rPr>
          <w:spacing w:val="0"/>
          <w:kern w:val="2"/>
        </w:rPr>
        <w:t>) to comply with HIPAA.  Further, under current HIPAA rules, the business associate may be directly liable for a HIPAA breach</w:t>
      </w:r>
      <w:r w:rsidR="00C15F69" w:rsidRPr="00B460FE">
        <w:rPr>
          <w:spacing w:val="0"/>
          <w:kern w:val="2"/>
        </w:rPr>
        <w:t>.</w:t>
      </w:r>
    </w:p>
    <w:p w:rsidR="008D4D1E" w:rsidRPr="00B460FE" w:rsidRDefault="008D4D1E" w:rsidP="008A78AB">
      <w:pPr>
        <w:jc w:val="both"/>
        <w:rPr>
          <w:spacing w:val="0"/>
          <w:kern w:val="2"/>
        </w:rPr>
      </w:pPr>
    </w:p>
    <w:p w:rsidR="008D4D1E" w:rsidRPr="00B460FE" w:rsidRDefault="009B3121" w:rsidP="00ED336D">
      <w:pPr>
        <w:pStyle w:val="Heading6"/>
        <w:numPr>
          <w:ilvl w:val="0"/>
          <w:numId w:val="8"/>
        </w:numPr>
        <w:ind w:left="1080"/>
        <w:jc w:val="both"/>
        <w:rPr>
          <w:b w:val="0"/>
          <w:spacing w:val="0"/>
          <w:kern w:val="2"/>
        </w:rPr>
      </w:pPr>
      <w:hyperlink r:id="rId11" w:history="1">
        <w:r w:rsidR="008D4D1E" w:rsidRPr="00B460FE">
          <w:rPr>
            <w:rStyle w:val="Hyperlink"/>
            <w:b w:val="0"/>
            <w:spacing w:val="0"/>
            <w:kern w:val="2"/>
          </w:rPr>
          <w:t>Terms for a business associate agreement</w:t>
        </w:r>
      </w:hyperlink>
      <w:r w:rsidR="008D4D1E" w:rsidRPr="00B460FE">
        <w:rPr>
          <w:rStyle w:val="Hyperlink"/>
          <w:b w:val="0"/>
          <w:spacing w:val="0"/>
          <w:kern w:val="2"/>
        </w:rPr>
        <w:t>: Checklist</w:t>
      </w:r>
    </w:p>
    <w:p w:rsidR="00C15F69" w:rsidRPr="00B460FE" w:rsidRDefault="00C15F69" w:rsidP="008A78AB">
      <w:pPr>
        <w:jc w:val="both"/>
        <w:rPr>
          <w:spacing w:val="0"/>
          <w:kern w:val="2"/>
        </w:rPr>
      </w:pPr>
    </w:p>
    <w:p w:rsidR="00C15F69" w:rsidRPr="00B460FE" w:rsidRDefault="00C15F69" w:rsidP="008A78AB">
      <w:pPr>
        <w:jc w:val="both"/>
        <w:rPr>
          <w:spacing w:val="0"/>
          <w:kern w:val="2"/>
        </w:rPr>
      </w:pPr>
      <w:r w:rsidRPr="00B460FE">
        <w:rPr>
          <w:spacing w:val="0"/>
          <w:kern w:val="2"/>
        </w:rPr>
        <w:t xml:space="preserve">Because </w:t>
      </w:r>
      <w:r w:rsidR="00F7529D" w:rsidRPr="00B460FE">
        <w:rPr>
          <w:spacing w:val="0"/>
          <w:kern w:val="2"/>
        </w:rPr>
        <w:t xml:space="preserve">the </w:t>
      </w:r>
      <w:r w:rsidRPr="00B460FE">
        <w:rPr>
          <w:spacing w:val="0"/>
          <w:kern w:val="2"/>
        </w:rPr>
        <w:t xml:space="preserve">BPHC recommends that credentialing occur prior to furnishing patient care services, it is best to design a centralized credentialing service under which the verification process is completed before an individual’s hiring is final (i.e., an offer has been extended pending verification of the individual’s credentials). Further, while all credentialing should be conducted in accordance with the requirements in BPHC PIN </w:t>
      </w:r>
      <w:r w:rsidR="006A57C3" w:rsidRPr="00B460FE">
        <w:rPr>
          <w:spacing w:val="0"/>
          <w:kern w:val="2"/>
        </w:rPr>
        <w:t xml:space="preserve">2001-16 and </w:t>
      </w:r>
      <w:r w:rsidRPr="00B460FE">
        <w:rPr>
          <w:spacing w:val="0"/>
          <w:kern w:val="2"/>
        </w:rPr>
        <w:t>2002-22, the</w:t>
      </w:r>
      <w:r w:rsidR="00F7529D" w:rsidRPr="00B460FE">
        <w:rPr>
          <w:spacing w:val="0"/>
          <w:kern w:val="2"/>
        </w:rPr>
        <w:t xml:space="preserve"> </w:t>
      </w:r>
      <w:r w:rsidRPr="00B460FE">
        <w:rPr>
          <w:spacing w:val="0"/>
          <w:kern w:val="2"/>
        </w:rPr>
        <w:t>PCA</w:t>
      </w:r>
      <w:r w:rsidR="00F7529D" w:rsidRPr="00B460FE">
        <w:rPr>
          <w:spacing w:val="0"/>
          <w:kern w:val="2"/>
        </w:rPr>
        <w:t>-HCCN</w:t>
      </w:r>
      <w:r w:rsidRPr="00B460FE">
        <w:rPr>
          <w:spacing w:val="0"/>
          <w:kern w:val="2"/>
        </w:rPr>
        <w:t xml:space="preserve"> should also keep in mind that these requirements are a minim</w:t>
      </w:r>
      <w:r w:rsidR="00F7529D" w:rsidRPr="00B460FE">
        <w:rPr>
          <w:spacing w:val="0"/>
          <w:kern w:val="2"/>
        </w:rPr>
        <w:t xml:space="preserve">um or “floor” – as such, the </w:t>
      </w:r>
      <w:r w:rsidRPr="00B460FE">
        <w:rPr>
          <w:spacing w:val="0"/>
          <w:kern w:val="2"/>
        </w:rPr>
        <w:t>PCA</w:t>
      </w:r>
      <w:r w:rsidR="00F7529D" w:rsidRPr="00B460FE">
        <w:rPr>
          <w:spacing w:val="0"/>
          <w:kern w:val="2"/>
        </w:rPr>
        <w:t>-HCCN</w:t>
      </w:r>
      <w:r w:rsidRPr="00B460FE">
        <w:rPr>
          <w:spacing w:val="0"/>
          <w:kern w:val="2"/>
        </w:rPr>
        <w:t xml:space="preserve"> could elect to obtain additional information.</w:t>
      </w:r>
    </w:p>
    <w:p w:rsidR="00C15F69" w:rsidRPr="00B460FE" w:rsidRDefault="00C15F69" w:rsidP="008A78AB">
      <w:pPr>
        <w:ind w:firstLine="720"/>
        <w:jc w:val="both"/>
        <w:rPr>
          <w:spacing w:val="0"/>
          <w:kern w:val="2"/>
        </w:rPr>
      </w:pPr>
    </w:p>
    <w:p w:rsidR="00750074" w:rsidRPr="00B460FE" w:rsidRDefault="00750074" w:rsidP="00ED336D">
      <w:pPr>
        <w:pStyle w:val="ListParagraph"/>
        <w:numPr>
          <w:ilvl w:val="0"/>
          <w:numId w:val="8"/>
        </w:numPr>
        <w:spacing w:after="200" w:line="276" w:lineRule="auto"/>
        <w:ind w:left="1080"/>
        <w:jc w:val="both"/>
        <w:rPr>
          <w:spacing w:val="0"/>
          <w:kern w:val="2"/>
        </w:rPr>
      </w:pPr>
      <w:r w:rsidRPr="00B460FE">
        <w:rPr>
          <w:spacing w:val="0"/>
          <w:kern w:val="2"/>
        </w:rPr>
        <w:t xml:space="preserve">Credentialing </w:t>
      </w:r>
      <w:r w:rsidR="00AD481F" w:rsidRPr="00B460FE">
        <w:rPr>
          <w:spacing w:val="0"/>
          <w:kern w:val="2"/>
        </w:rPr>
        <w:t>and privileging</w:t>
      </w:r>
      <w:r w:rsidRPr="00B460FE">
        <w:rPr>
          <w:rStyle w:val="Hyperlink"/>
          <w:spacing w:val="0"/>
          <w:kern w:val="2"/>
        </w:rPr>
        <w:t>: Sample policy and procedure</w:t>
      </w:r>
    </w:p>
    <w:p w:rsidR="007D5295" w:rsidRPr="00B460FE" w:rsidRDefault="004D4116" w:rsidP="008A78AB">
      <w:pPr>
        <w:jc w:val="both"/>
        <w:rPr>
          <w:spacing w:val="0"/>
          <w:kern w:val="2"/>
        </w:rPr>
      </w:pPr>
      <w:r w:rsidRPr="00B460FE">
        <w:rPr>
          <w:spacing w:val="0"/>
          <w:kern w:val="2"/>
        </w:rPr>
        <w:t>In developing and planning a joint or centralized function</w:t>
      </w:r>
      <w:r w:rsidR="007D5295" w:rsidRPr="00B460FE">
        <w:rPr>
          <w:spacing w:val="0"/>
          <w:kern w:val="2"/>
        </w:rPr>
        <w:t xml:space="preserve"> on behalf of its members</w:t>
      </w:r>
      <w:r w:rsidR="00946305" w:rsidRPr="00B460FE">
        <w:rPr>
          <w:spacing w:val="0"/>
          <w:kern w:val="2"/>
        </w:rPr>
        <w:t xml:space="preserve">, the </w:t>
      </w:r>
      <w:r w:rsidRPr="00B460FE">
        <w:rPr>
          <w:spacing w:val="0"/>
          <w:kern w:val="2"/>
        </w:rPr>
        <w:t>PCA</w:t>
      </w:r>
      <w:r w:rsidR="00946305" w:rsidRPr="00B460FE">
        <w:rPr>
          <w:spacing w:val="0"/>
          <w:kern w:val="2"/>
        </w:rPr>
        <w:t>-HCCN</w:t>
      </w:r>
      <w:r w:rsidRPr="00B460FE">
        <w:rPr>
          <w:spacing w:val="0"/>
          <w:kern w:val="2"/>
        </w:rPr>
        <w:t xml:space="preserve"> should</w:t>
      </w:r>
      <w:r w:rsidR="007D5295" w:rsidRPr="00B460FE">
        <w:rPr>
          <w:spacing w:val="0"/>
          <w:kern w:val="2"/>
        </w:rPr>
        <w:t xml:space="preserve"> ensure that it is not using any of its HRSA funds for impermissible/unallowable uses. It is i</w:t>
      </w:r>
      <w:r w:rsidR="00321AF3" w:rsidRPr="00B460FE">
        <w:rPr>
          <w:spacing w:val="0"/>
          <w:kern w:val="2"/>
        </w:rPr>
        <w:t>mportant to review both the</w:t>
      </w:r>
      <w:r w:rsidR="007D5295" w:rsidRPr="00B460FE">
        <w:rPr>
          <w:spacing w:val="0"/>
          <w:kern w:val="2"/>
        </w:rPr>
        <w:t xml:space="preserve"> current BPHC Primary Care Association Guide as well as the agre</w:t>
      </w:r>
      <w:r w:rsidR="00321AF3" w:rsidRPr="00B460FE">
        <w:rPr>
          <w:spacing w:val="0"/>
          <w:kern w:val="2"/>
        </w:rPr>
        <w:t xml:space="preserve">ed upon workplan between the </w:t>
      </w:r>
      <w:r w:rsidR="007D5295" w:rsidRPr="00B460FE">
        <w:rPr>
          <w:spacing w:val="0"/>
          <w:kern w:val="2"/>
        </w:rPr>
        <w:t>PCA</w:t>
      </w:r>
      <w:r w:rsidR="00946305" w:rsidRPr="00B460FE">
        <w:rPr>
          <w:spacing w:val="0"/>
          <w:kern w:val="2"/>
        </w:rPr>
        <w:t>-HCCN</w:t>
      </w:r>
      <w:r w:rsidR="007D5295" w:rsidRPr="00B460FE">
        <w:rPr>
          <w:spacing w:val="0"/>
          <w:kern w:val="2"/>
        </w:rPr>
        <w:t xml:space="preserve"> and BPHC prior to using any HRSA funds to support s</w:t>
      </w:r>
      <w:r w:rsidR="00957ED1" w:rsidRPr="00B460FE">
        <w:rPr>
          <w:spacing w:val="0"/>
          <w:kern w:val="2"/>
        </w:rPr>
        <w:t>uch activities</w:t>
      </w:r>
      <w:r w:rsidR="00321AF3" w:rsidRPr="00B460FE">
        <w:rPr>
          <w:spacing w:val="0"/>
          <w:kern w:val="2"/>
        </w:rPr>
        <w:t xml:space="preserve">. </w:t>
      </w:r>
      <w:r w:rsidR="00275130" w:rsidRPr="00B460FE">
        <w:rPr>
          <w:spacing w:val="0"/>
          <w:kern w:val="2"/>
        </w:rPr>
        <w:t xml:space="preserve">Because most joint or centralized operational activities fall outside of “technical assistance and training,” </w:t>
      </w:r>
      <w:r w:rsidR="00321AF3" w:rsidRPr="00B460FE">
        <w:rPr>
          <w:spacing w:val="0"/>
          <w:kern w:val="2"/>
        </w:rPr>
        <w:t xml:space="preserve">and may be available only to </w:t>
      </w:r>
      <w:r w:rsidR="00275130" w:rsidRPr="00B460FE">
        <w:rPr>
          <w:spacing w:val="0"/>
          <w:kern w:val="2"/>
        </w:rPr>
        <w:t>PCA</w:t>
      </w:r>
      <w:r w:rsidR="00946305" w:rsidRPr="00B460FE">
        <w:rPr>
          <w:spacing w:val="0"/>
          <w:kern w:val="2"/>
        </w:rPr>
        <w:t>-HCCN</w:t>
      </w:r>
      <w:r w:rsidR="00275130" w:rsidRPr="00B460FE">
        <w:rPr>
          <w:spacing w:val="0"/>
          <w:kern w:val="2"/>
        </w:rPr>
        <w:t xml:space="preserve"> members, more than likely such activities would not be considered permissible/allowable activities that can be supporte</w:t>
      </w:r>
      <w:r w:rsidR="00321AF3" w:rsidRPr="00B460FE">
        <w:rPr>
          <w:spacing w:val="0"/>
          <w:kern w:val="2"/>
        </w:rPr>
        <w:t xml:space="preserve">d with HRSA funding, and the </w:t>
      </w:r>
      <w:r w:rsidR="00275130" w:rsidRPr="00B460FE">
        <w:rPr>
          <w:spacing w:val="0"/>
          <w:kern w:val="2"/>
        </w:rPr>
        <w:t>PCA</w:t>
      </w:r>
      <w:r w:rsidR="00946305" w:rsidRPr="00B460FE">
        <w:rPr>
          <w:spacing w:val="0"/>
          <w:kern w:val="2"/>
        </w:rPr>
        <w:t>-HCCN</w:t>
      </w:r>
      <w:r w:rsidR="00275130" w:rsidRPr="00B460FE">
        <w:rPr>
          <w:spacing w:val="0"/>
          <w:kern w:val="2"/>
        </w:rPr>
        <w:t xml:space="preserve"> will be required to obtain other sources of funds (such as participation fees from the members) to support centralized/joint operational functions. </w:t>
      </w:r>
      <w:r w:rsidR="00321AF3" w:rsidRPr="00B460FE">
        <w:rPr>
          <w:spacing w:val="0"/>
          <w:kern w:val="2"/>
        </w:rPr>
        <w:t xml:space="preserve">Further, </w:t>
      </w:r>
      <w:r w:rsidR="00957ED1" w:rsidRPr="00B460FE">
        <w:rPr>
          <w:spacing w:val="0"/>
          <w:kern w:val="2"/>
        </w:rPr>
        <w:t>PCAs</w:t>
      </w:r>
      <w:r w:rsidR="00946305" w:rsidRPr="00B460FE">
        <w:rPr>
          <w:spacing w:val="0"/>
          <w:kern w:val="2"/>
        </w:rPr>
        <w:t>-HCCNs</w:t>
      </w:r>
      <w:r w:rsidR="00957ED1" w:rsidRPr="00B460FE">
        <w:rPr>
          <w:spacing w:val="0"/>
          <w:kern w:val="2"/>
        </w:rPr>
        <w:t xml:space="preserve"> should ensure appropriate documentation to demonstrate that they are not using the HRSA funds to sup</w:t>
      </w:r>
      <w:r w:rsidR="005C54AE" w:rsidRPr="00B460FE">
        <w:rPr>
          <w:spacing w:val="0"/>
          <w:kern w:val="2"/>
        </w:rPr>
        <w:t>port impermissible activities.  T</w:t>
      </w:r>
      <w:r w:rsidR="00946305" w:rsidRPr="00B460FE">
        <w:rPr>
          <w:spacing w:val="0"/>
          <w:kern w:val="2"/>
        </w:rPr>
        <w:t xml:space="preserve">he </w:t>
      </w:r>
      <w:r w:rsidR="00957ED1" w:rsidRPr="00B460FE">
        <w:rPr>
          <w:spacing w:val="0"/>
          <w:kern w:val="2"/>
        </w:rPr>
        <w:t>PCA</w:t>
      </w:r>
      <w:r w:rsidR="00946305" w:rsidRPr="00B460FE">
        <w:rPr>
          <w:spacing w:val="0"/>
          <w:kern w:val="2"/>
        </w:rPr>
        <w:t>-HCCN</w:t>
      </w:r>
      <w:r w:rsidR="00957ED1" w:rsidRPr="00B460FE">
        <w:rPr>
          <w:spacing w:val="0"/>
          <w:kern w:val="2"/>
        </w:rPr>
        <w:t xml:space="preserve"> shou</w:t>
      </w:r>
      <w:r w:rsidR="00946305" w:rsidRPr="00B460FE">
        <w:rPr>
          <w:spacing w:val="0"/>
          <w:kern w:val="2"/>
        </w:rPr>
        <w:t xml:space="preserve">ld be able to verify that joint and </w:t>
      </w:r>
      <w:r w:rsidR="00957ED1" w:rsidRPr="00B460FE">
        <w:rPr>
          <w:spacing w:val="0"/>
          <w:kern w:val="2"/>
        </w:rPr>
        <w:t>centralized operational activities are fully supported through non-HRSA funding or risk a potential disallowance.</w:t>
      </w:r>
    </w:p>
    <w:p w:rsidR="007D5295" w:rsidRPr="00B460FE" w:rsidRDefault="007D5295" w:rsidP="008A78AB">
      <w:pPr>
        <w:widowControl w:val="0"/>
        <w:jc w:val="both"/>
        <w:rPr>
          <w:spacing w:val="0"/>
          <w:kern w:val="2"/>
        </w:rPr>
      </w:pPr>
    </w:p>
    <w:p w:rsidR="008D4D1E" w:rsidRPr="00B460FE" w:rsidRDefault="00C15F69" w:rsidP="008A78AB">
      <w:pPr>
        <w:widowControl w:val="0"/>
        <w:jc w:val="both"/>
        <w:rPr>
          <w:spacing w:val="0"/>
          <w:kern w:val="2"/>
        </w:rPr>
      </w:pPr>
      <w:r w:rsidRPr="00B460FE">
        <w:rPr>
          <w:spacing w:val="0"/>
          <w:kern w:val="2"/>
        </w:rPr>
        <w:t>Regardless of the type of centralized or jo</w:t>
      </w:r>
      <w:r w:rsidR="00946305" w:rsidRPr="00B460FE">
        <w:rPr>
          <w:spacing w:val="0"/>
          <w:kern w:val="2"/>
        </w:rPr>
        <w:t xml:space="preserve">int activity conducted by the </w:t>
      </w:r>
      <w:r w:rsidRPr="00B460FE">
        <w:rPr>
          <w:spacing w:val="0"/>
          <w:kern w:val="2"/>
        </w:rPr>
        <w:t>PCA</w:t>
      </w:r>
      <w:r w:rsidR="00946305" w:rsidRPr="00B460FE">
        <w:rPr>
          <w:spacing w:val="0"/>
          <w:kern w:val="2"/>
        </w:rPr>
        <w:t xml:space="preserve">-HCCN, it is advisable that the </w:t>
      </w:r>
      <w:r w:rsidRPr="00B460FE">
        <w:rPr>
          <w:spacing w:val="0"/>
          <w:kern w:val="2"/>
        </w:rPr>
        <w:t>PCA</w:t>
      </w:r>
      <w:r w:rsidR="00946305" w:rsidRPr="00B460FE">
        <w:rPr>
          <w:spacing w:val="0"/>
          <w:kern w:val="2"/>
        </w:rPr>
        <w:t>-HCCN</w:t>
      </w:r>
      <w:r w:rsidRPr="00B460FE">
        <w:rPr>
          <w:spacing w:val="0"/>
          <w:kern w:val="2"/>
        </w:rPr>
        <w:t xml:space="preserve"> and each member participating in the activity execute </w:t>
      </w:r>
      <w:r w:rsidR="005C54AE" w:rsidRPr="00B460FE">
        <w:rPr>
          <w:spacing w:val="0"/>
          <w:kern w:val="2"/>
        </w:rPr>
        <w:t>a Participation Agreement</w:t>
      </w:r>
      <w:r w:rsidRPr="00B460FE">
        <w:rPr>
          <w:spacing w:val="0"/>
          <w:kern w:val="2"/>
        </w:rPr>
        <w:t>. Under a centralized program, th</w:t>
      </w:r>
      <w:r w:rsidR="00946305" w:rsidRPr="00B460FE">
        <w:rPr>
          <w:spacing w:val="0"/>
          <w:kern w:val="2"/>
        </w:rPr>
        <w:t xml:space="preserve">e </w:t>
      </w:r>
      <w:r w:rsidRPr="00B460FE">
        <w:rPr>
          <w:spacing w:val="0"/>
          <w:kern w:val="2"/>
        </w:rPr>
        <w:t>PCA</w:t>
      </w:r>
      <w:r w:rsidR="00946305" w:rsidRPr="00B460FE">
        <w:rPr>
          <w:spacing w:val="0"/>
          <w:kern w:val="2"/>
        </w:rPr>
        <w:t>-HCCN</w:t>
      </w:r>
      <w:r w:rsidRPr="00B460FE">
        <w:rPr>
          <w:spacing w:val="0"/>
          <w:kern w:val="2"/>
        </w:rPr>
        <w:t xml:space="preserve"> itself would be the purchaser of products, systems, and other equipment, as well as the provider of related administrative and support services and personnel, integral </w:t>
      </w:r>
      <w:r w:rsidR="00946305" w:rsidRPr="00B460FE">
        <w:rPr>
          <w:spacing w:val="0"/>
          <w:kern w:val="2"/>
        </w:rPr>
        <w:t xml:space="preserve">to such centralized functions. </w:t>
      </w:r>
      <w:r w:rsidR="00531146" w:rsidRPr="00B460FE">
        <w:rPr>
          <w:spacing w:val="0"/>
          <w:kern w:val="2"/>
        </w:rPr>
        <w:t>Since the P</w:t>
      </w:r>
      <w:r w:rsidRPr="00B460FE">
        <w:rPr>
          <w:spacing w:val="0"/>
          <w:kern w:val="2"/>
        </w:rPr>
        <w:t>CA</w:t>
      </w:r>
      <w:r w:rsidR="00531146" w:rsidRPr="00B460FE">
        <w:rPr>
          <w:spacing w:val="0"/>
          <w:kern w:val="2"/>
        </w:rPr>
        <w:t>-HCCN</w:t>
      </w:r>
      <w:r w:rsidRPr="00B460FE">
        <w:rPr>
          <w:spacing w:val="0"/>
          <w:kern w:val="2"/>
        </w:rPr>
        <w:t xml:space="preserve"> may be making large financial and personnel investments, it should execute an agreement with its me</w:t>
      </w:r>
      <w:r w:rsidR="00E60BD4">
        <w:rPr>
          <w:spacing w:val="0"/>
          <w:kern w:val="2"/>
        </w:rPr>
        <w:t>mbers, setting forth each party’</w:t>
      </w:r>
      <w:r w:rsidRPr="00B460FE">
        <w:rPr>
          <w:spacing w:val="0"/>
          <w:kern w:val="2"/>
        </w:rPr>
        <w:t>s expectations and responsibilities wit</w:t>
      </w:r>
      <w:r w:rsidR="00531146" w:rsidRPr="00B460FE">
        <w:rPr>
          <w:spacing w:val="0"/>
          <w:kern w:val="2"/>
        </w:rPr>
        <w:t xml:space="preserve">h </w:t>
      </w:r>
      <w:r w:rsidR="00531146" w:rsidRPr="00B460FE">
        <w:rPr>
          <w:spacing w:val="0"/>
          <w:kern w:val="2"/>
        </w:rPr>
        <w:lastRenderedPageBreak/>
        <w:t xml:space="preserve">respect to such investments. </w:t>
      </w:r>
      <w:r w:rsidRPr="00B460FE">
        <w:rPr>
          <w:spacing w:val="0"/>
          <w:kern w:val="2"/>
        </w:rPr>
        <w:t>In general, the P</w:t>
      </w:r>
      <w:r w:rsidR="005C54AE" w:rsidRPr="00B460FE">
        <w:rPr>
          <w:spacing w:val="0"/>
          <w:kern w:val="2"/>
        </w:rPr>
        <w:t xml:space="preserve">articipation </w:t>
      </w:r>
      <w:r w:rsidRPr="00B460FE">
        <w:rPr>
          <w:spacing w:val="0"/>
          <w:kern w:val="2"/>
        </w:rPr>
        <w:t>A</w:t>
      </w:r>
      <w:r w:rsidR="005C54AE" w:rsidRPr="00B460FE">
        <w:rPr>
          <w:spacing w:val="0"/>
          <w:kern w:val="2"/>
        </w:rPr>
        <w:t>greement</w:t>
      </w:r>
      <w:r w:rsidRPr="00B460FE">
        <w:rPr>
          <w:spacing w:val="0"/>
          <w:kern w:val="2"/>
        </w:rPr>
        <w:t xml:space="preserve"> should contain provisions that ensure each party's accountability and long term commitment to the joint purchasing and integrated services program.</w:t>
      </w:r>
    </w:p>
    <w:p w:rsidR="00C15F69" w:rsidRPr="00B460FE" w:rsidRDefault="00C15F69" w:rsidP="008A78AB">
      <w:pPr>
        <w:widowControl w:val="0"/>
        <w:jc w:val="both"/>
        <w:rPr>
          <w:spacing w:val="0"/>
          <w:kern w:val="2"/>
        </w:rPr>
      </w:pPr>
      <w:r w:rsidRPr="00B460FE">
        <w:rPr>
          <w:spacing w:val="0"/>
          <w:kern w:val="2"/>
        </w:rPr>
        <w:t xml:space="preserve">  </w:t>
      </w:r>
    </w:p>
    <w:p w:rsidR="008D4D1E" w:rsidRPr="00B460FE" w:rsidRDefault="009B3121" w:rsidP="00ED336D">
      <w:pPr>
        <w:pStyle w:val="Heading6"/>
        <w:numPr>
          <w:ilvl w:val="0"/>
          <w:numId w:val="7"/>
        </w:numPr>
        <w:ind w:left="1080"/>
        <w:jc w:val="both"/>
        <w:rPr>
          <w:b w:val="0"/>
          <w:spacing w:val="0"/>
          <w:kern w:val="2"/>
        </w:rPr>
      </w:pPr>
      <w:hyperlink r:id="rId12" w:history="1">
        <w:r w:rsidR="008D4D1E" w:rsidRPr="00B460FE">
          <w:rPr>
            <w:rStyle w:val="Hyperlink"/>
            <w:b w:val="0"/>
            <w:spacing w:val="0"/>
            <w:kern w:val="2"/>
          </w:rPr>
          <w:t>Terms for a participation agreement</w:t>
        </w:r>
      </w:hyperlink>
      <w:r w:rsidR="008D4D1E" w:rsidRPr="00B460FE">
        <w:rPr>
          <w:rStyle w:val="Hyperlink"/>
          <w:b w:val="0"/>
          <w:spacing w:val="0"/>
          <w:kern w:val="2"/>
        </w:rPr>
        <w:t>: Checklist</w:t>
      </w:r>
    </w:p>
    <w:p w:rsidR="00C15F69" w:rsidRPr="00B460FE" w:rsidRDefault="00C15F69" w:rsidP="008A78AB">
      <w:pPr>
        <w:widowControl w:val="0"/>
        <w:ind w:firstLine="720"/>
        <w:jc w:val="both"/>
        <w:rPr>
          <w:spacing w:val="0"/>
          <w:kern w:val="2"/>
        </w:rPr>
      </w:pPr>
    </w:p>
    <w:p w:rsidR="0070735E" w:rsidRPr="00B460FE" w:rsidRDefault="00C15F69" w:rsidP="008A78AB">
      <w:pPr>
        <w:widowControl w:val="0"/>
        <w:jc w:val="both"/>
        <w:rPr>
          <w:spacing w:val="0"/>
          <w:kern w:val="2"/>
        </w:rPr>
      </w:pPr>
      <w:r w:rsidRPr="00B460FE">
        <w:rPr>
          <w:spacing w:val="0"/>
          <w:kern w:val="2"/>
        </w:rPr>
        <w:t>If not all members want to participate in the shared programs, p</w:t>
      </w:r>
      <w:r w:rsidR="00531146" w:rsidRPr="00B460FE">
        <w:rPr>
          <w:spacing w:val="0"/>
          <w:kern w:val="2"/>
        </w:rPr>
        <w:t xml:space="preserve">roducts and/or services, the </w:t>
      </w:r>
      <w:r w:rsidRPr="00B460FE">
        <w:rPr>
          <w:spacing w:val="0"/>
          <w:kern w:val="2"/>
        </w:rPr>
        <w:t>PCA</w:t>
      </w:r>
      <w:r w:rsidR="00531146" w:rsidRPr="00B460FE">
        <w:rPr>
          <w:spacing w:val="0"/>
          <w:kern w:val="2"/>
        </w:rPr>
        <w:t>-HCCN</w:t>
      </w:r>
      <w:r w:rsidRPr="00B460FE">
        <w:rPr>
          <w:spacing w:val="0"/>
          <w:kern w:val="2"/>
        </w:rPr>
        <w:t xml:space="preserve"> and the participating members may consider estab</w:t>
      </w:r>
      <w:r w:rsidR="005C54AE" w:rsidRPr="00B460FE">
        <w:rPr>
          <w:spacing w:val="0"/>
          <w:kern w:val="2"/>
        </w:rPr>
        <w:t xml:space="preserve">lishing a separate corporation </w:t>
      </w:r>
      <w:r w:rsidRPr="00B460FE">
        <w:rPr>
          <w:spacing w:val="0"/>
          <w:kern w:val="2"/>
        </w:rPr>
        <w:t>which would be responsible for operating the joint activities.  An agreement to establish a new organization should ad</w:t>
      </w:r>
      <w:r w:rsidR="0070735E" w:rsidRPr="00B460FE">
        <w:rPr>
          <w:spacing w:val="0"/>
          <w:kern w:val="2"/>
        </w:rPr>
        <w:t xml:space="preserve">dress, among other things: </w:t>
      </w:r>
    </w:p>
    <w:p w:rsidR="00ED336D" w:rsidRPr="00B460FE" w:rsidRDefault="00ED336D" w:rsidP="008A78AB">
      <w:pPr>
        <w:widowControl w:val="0"/>
        <w:jc w:val="both"/>
        <w:rPr>
          <w:spacing w:val="0"/>
          <w:kern w:val="2"/>
        </w:rPr>
      </w:pPr>
    </w:p>
    <w:p w:rsidR="0070735E" w:rsidRPr="00B460FE" w:rsidRDefault="0070735E" w:rsidP="008A78AB">
      <w:pPr>
        <w:pStyle w:val="ListParagraph"/>
        <w:widowControl w:val="0"/>
        <w:numPr>
          <w:ilvl w:val="0"/>
          <w:numId w:val="5"/>
        </w:numPr>
        <w:jc w:val="both"/>
        <w:rPr>
          <w:spacing w:val="0"/>
          <w:kern w:val="2"/>
        </w:rPr>
      </w:pPr>
      <w:r w:rsidRPr="00B460FE">
        <w:rPr>
          <w:spacing w:val="0"/>
          <w:kern w:val="2"/>
        </w:rPr>
        <w:t>T</w:t>
      </w:r>
      <w:r w:rsidR="00C15F69" w:rsidRPr="00B460FE">
        <w:rPr>
          <w:spacing w:val="0"/>
          <w:kern w:val="2"/>
        </w:rPr>
        <w:t>he coordination of joint activities;</w:t>
      </w:r>
      <w:r w:rsidRPr="00B460FE">
        <w:rPr>
          <w:spacing w:val="0"/>
          <w:kern w:val="2"/>
        </w:rPr>
        <w:t xml:space="preserve"> </w:t>
      </w:r>
    </w:p>
    <w:p w:rsidR="0070735E" w:rsidRPr="00B460FE" w:rsidRDefault="0070735E" w:rsidP="008A78AB">
      <w:pPr>
        <w:pStyle w:val="ListParagraph"/>
        <w:widowControl w:val="0"/>
        <w:numPr>
          <w:ilvl w:val="0"/>
          <w:numId w:val="5"/>
        </w:numPr>
        <w:jc w:val="both"/>
        <w:rPr>
          <w:spacing w:val="0"/>
          <w:kern w:val="2"/>
        </w:rPr>
      </w:pPr>
      <w:r w:rsidRPr="00B460FE">
        <w:rPr>
          <w:spacing w:val="0"/>
          <w:kern w:val="2"/>
        </w:rPr>
        <w:t>G</w:t>
      </w:r>
      <w:r w:rsidR="00C15F69" w:rsidRPr="00B460FE">
        <w:rPr>
          <w:spacing w:val="0"/>
          <w:kern w:val="2"/>
        </w:rPr>
        <w:t>overnance and decision-making,</w:t>
      </w:r>
      <w:r w:rsidRPr="00B460FE">
        <w:rPr>
          <w:spacing w:val="0"/>
          <w:kern w:val="2"/>
        </w:rPr>
        <w:t xml:space="preserve"> including Board composition; </w:t>
      </w:r>
    </w:p>
    <w:p w:rsidR="0070735E" w:rsidRPr="00B460FE" w:rsidRDefault="0070735E" w:rsidP="008A78AB">
      <w:pPr>
        <w:pStyle w:val="ListParagraph"/>
        <w:widowControl w:val="0"/>
        <w:numPr>
          <w:ilvl w:val="0"/>
          <w:numId w:val="5"/>
        </w:numPr>
        <w:jc w:val="both"/>
        <w:rPr>
          <w:spacing w:val="0"/>
          <w:kern w:val="2"/>
        </w:rPr>
      </w:pPr>
      <w:r w:rsidRPr="00B460FE">
        <w:rPr>
          <w:spacing w:val="0"/>
          <w:kern w:val="2"/>
        </w:rPr>
        <w:t>A</w:t>
      </w:r>
      <w:r w:rsidR="00C15F69" w:rsidRPr="00B460FE">
        <w:rPr>
          <w:spacing w:val="0"/>
          <w:kern w:val="2"/>
        </w:rPr>
        <w:t>nnual cash and in-kind</w:t>
      </w:r>
      <w:r w:rsidR="000C3103" w:rsidRPr="00B460FE">
        <w:rPr>
          <w:spacing w:val="0"/>
          <w:kern w:val="2"/>
        </w:rPr>
        <w:t xml:space="preserve"> contributio</w:t>
      </w:r>
      <w:r w:rsidRPr="00B460FE">
        <w:rPr>
          <w:spacing w:val="0"/>
          <w:kern w:val="2"/>
        </w:rPr>
        <w:t xml:space="preserve">ns by each party; </w:t>
      </w:r>
    </w:p>
    <w:p w:rsidR="0070735E" w:rsidRPr="00B460FE" w:rsidRDefault="0070735E" w:rsidP="008A78AB">
      <w:pPr>
        <w:pStyle w:val="ListParagraph"/>
        <w:widowControl w:val="0"/>
        <w:numPr>
          <w:ilvl w:val="0"/>
          <w:numId w:val="5"/>
        </w:numPr>
        <w:jc w:val="both"/>
        <w:rPr>
          <w:spacing w:val="0"/>
          <w:kern w:val="2"/>
        </w:rPr>
      </w:pPr>
      <w:r w:rsidRPr="00B460FE">
        <w:rPr>
          <w:spacing w:val="0"/>
          <w:kern w:val="2"/>
        </w:rPr>
        <w:t>T</w:t>
      </w:r>
      <w:r w:rsidR="00C15F69" w:rsidRPr="00B460FE">
        <w:rPr>
          <w:spacing w:val="0"/>
          <w:kern w:val="2"/>
        </w:rPr>
        <w:t xml:space="preserve">ermination of the entire collaboration, as well as </w:t>
      </w:r>
      <w:r w:rsidR="000C3103" w:rsidRPr="00B460FE">
        <w:rPr>
          <w:spacing w:val="0"/>
          <w:kern w:val="2"/>
        </w:rPr>
        <w:t>i</w:t>
      </w:r>
      <w:r w:rsidRPr="00B460FE">
        <w:rPr>
          <w:spacing w:val="0"/>
          <w:kern w:val="2"/>
        </w:rPr>
        <w:t>ndividual participation; and</w:t>
      </w:r>
      <w:r w:rsidR="000C3103" w:rsidRPr="00B460FE">
        <w:rPr>
          <w:spacing w:val="0"/>
          <w:kern w:val="2"/>
        </w:rPr>
        <w:t xml:space="preserve"> </w:t>
      </w:r>
    </w:p>
    <w:p w:rsidR="00C15F69" w:rsidRPr="00B460FE" w:rsidRDefault="0070735E" w:rsidP="008A78AB">
      <w:pPr>
        <w:pStyle w:val="ListParagraph"/>
        <w:widowControl w:val="0"/>
        <w:numPr>
          <w:ilvl w:val="0"/>
          <w:numId w:val="5"/>
        </w:numPr>
        <w:jc w:val="both"/>
        <w:rPr>
          <w:spacing w:val="0"/>
          <w:kern w:val="2"/>
        </w:rPr>
      </w:pPr>
      <w:r w:rsidRPr="00B460FE">
        <w:rPr>
          <w:spacing w:val="0"/>
          <w:kern w:val="2"/>
        </w:rPr>
        <w:t>O</w:t>
      </w:r>
      <w:r w:rsidR="000C3103" w:rsidRPr="00B460FE">
        <w:rPr>
          <w:spacing w:val="0"/>
          <w:kern w:val="2"/>
        </w:rPr>
        <w:t xml:space="preserve">bligations upon </w:t>
      </w:r>
      <w:r w:rsidR="00C15F69" w:rsidRPr="00B460FE">
        <w:rPr>
          <w:spacing w:val="0"/>
          <w:kern w:val="2"/>
        </w:rPr>
        <w:t>individual termination, including penalties (if any).</w:t>
      </w:r>
    </w:p>
    <w:p w:rsidR="0070735E" w:rsidRPr="00B460FE" w:rsidRDefault="0070735E" w:rsidP="008A78AB">
      <w:pPr>
        <w:spacing w:after="200" w:line="276" w:lineRule="auto"/>
        <w:jc w:val="both"/>
        <w:rPr>
          <w:spacing w:val="0"/>
          <w:kern w:val="2"/>
        </w:rPr>
      </w:pPr>
    </w:p>
    <w:p w:rsidR="008902F0" w:rsidRPr="00B460FE" w:rsidRDefault="008902F0" w:rsidP="008A78AB">
      <w:pPr>
        <w:pStyle w:val="Heading6"/>
        <w:jc w:val="both"/>
        <w:rPr>
          <w:b w:val="0"/>
          <w:spacing w:val="0"/>
          <w:kern w:val="2"/>
        </w:rPr>
      </w:pPr>
    </w:p>
    <w:p w:rsidR="0070735E" w:rsidRPr="00B460FE" w:rsidRDefault="0070735E" w:rsidP="008A78AB">
      <w:pPr>
        <w:pStyle w:val="Heading6"/>
        <w:jc w:val="both"/>
        <w:rPr>
          <w:spacing w:val="0"/>
          <w:kern w:val="2"/>
        </w:rPr>
      </w:pPr>
    </w:p>
    <w:p w:rsidR="0000738F" w:rsidRPr="00B460FE" w:rsidRDefault="0000738F" w:rsidP="008A78AB">
      <w:pPr>
        <w:jc w:val="both"/>
        <w:rPr>
          <w:spacing w:val="0"/>
          <w:kern w:val="2"/>
        </w:rPr>
      </w:pPr>
    </w:p>
    <w:sectPr w:rsidR="0000738F" w:rsidRPr="00B460FE" w:rsidSect="00542576">
      <w:headerReference w:type="default" r:id="rId13"/>
      <w:footerReference w:type="default" r:id="rId14"/>
      <w:pgSz w:w="12240" w:h="15840" w:code="1"/>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C5" w:rsidRDefault="005554C5" w:rsidP="005554C5">
      <w:r>
        <w:separator/>
      </w:r>
    </w:p>
  </w:endnote>
  <w:endnote w:type="continuationSeparator" w:id="0">
    <w:p w:rsidR="005554C5" w:rsidRDefault="005554C5" w:rsidP="0055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C5" w:rsidRPr="006B59DD" w:rsidRDefault="005554C5" w:rsidP="005554C5">
    <w:pPr>
      <w:pBdr>
        <w:bottom w:val="single" w:sz="12" w:space="0" w:color="auto"/>
      </w:pBdr>
      <w:rPr>
        <w:rFonts w:eastAsia="Calibri"/>
        <w:bCs w:val="0"/>
        <w:sz w:val="20"/>
        <w:szCs w:val="20"/>
      </w:rPr>
    </w:pPr>
  </w:p>
  <w:p w:rsidR="005554C5" w:rsidRPr="006B59DD" w:rsidRDefault="005554C5" w:rsidP="005554C5">
    <w:pPr>
      <w:tabs>
        <w:tab w:val="left" w:pos="2340"/>
      </w:tabs>
      <w:jc w:val="center"/>
      <w:rPr>
        <w:rFonts w:eastAsia="Calibri"/>
        <w:bCs w:val="0"/>
        <w:sz w:val="20"/>
        <w:szCs w:val="20"/>
      </w:rPr>
    </w:pPr>
  </w:p>
  <w:p w:rsidR="00D77237" w:rsidRPr="008A78AB" w:rsidRDefault="00712815" w:rsidP="00D77237">
    <w:pPr>
      <w:tabs>
        <w:tab w:val="left" w:pos="2340"/>
      </w:tabs>
      <w:jc w:val="center"/>
      <w:rPr>
        <w:spacing w:val="0"/>
        <w:sz w:val="20"/>
        <w:szCs w:val="20"/>
      </w:rPr>
    </w:pPr>
    <w:r w:rsidRPr="008A78AB">
      <w:rPr>
        <w:spacing w:val="0"/>
        <w:sz w:val="20"/>
        <w:szCs w:val="20"/>
      </w:rPr>
      <w:t>The</w:t>
    </w:r>
    <w:r w:rsidR="001B639F" w:rsidRPr="008A78AB">
      <w:rPr>
        <w:spacing w:val="0"/>
        <w:sz w:val="20"/>
        <w:szCs w:val="20"/>
      </w:rPr>
      <w:t xml:space="preserve"> Corporate </w:t>
    </w:r>
    <w:r w:rsidR="00D77237" w:rsidRPr="008A78AB">
      <w:rPr>
        <w:spacing w:val="0"/>
        <w:sz w:val="20"/>
        <w:szCs w:val="20"/>
      </w:rPr>
      <w:t>Compliance Toolkit</w:t>
    </w:r>
    <w:r w:rsidR="001B639F" w:rsidRPr="008A78AB">
      <w:rPr>
        <w:spacing w:val="0"/>
        <w:sz w:val="20"/>
        <w:szCs w:val="20"/>
      </w:rPr>
      <w:t xml:space="preserve"> for PCAs-HCCNs</w:t>
    </w:r>
  </w:p>
  <w:p w:rsidR="00D77237" w:rsidRPr="008A78AB" w:rsidRDefault="001B639F" w:rsidP="00D77237">
    <w:pPr>
      <w:tabs>
        <w:tab w:val="left" w:pos="2340"/>
      </w:tabs>
      <w:jc w:val="center"/>
      <w:rPr>
        <w:spacing w:val="0"/>
        <w:sz w:val="20"/>
        <w:szCs w:val="20"/>
      </w:rPr>
    </w:pPr>
    <w:r w:rsidRPr="008A78AB">
      <w:rPr>
        <w:spacing w:val="0"/>
        <w:sz w:val="20"/>
        <w:szCs w:val="20"/>
        <w:lang w:val="de-DE"/>
      </w:rPr>
      <w:t>© 2015</w:t>
    </w:r>
    <w:r w:rsidR="00D77237" w:rsidRPr="008A78AB">
      <w:rPr>
        <w:spacing w:val="0"/>
        <w:sz w:val="20"/>
        <w:szCs w:val="20"/>
        <w:lang w:val="de-DE"/>
      </w:rPr>
      <w:t xml:space="preserve"> </w:t>
    </w:r>
    <w:r w:rsidR="00D77237" w:rsidRPr="008A78AB">
      <w:rPr>
        <w:spacing w:val="0"/>
        <w:sz w:val="20"/>
        <w:szCs w:val="20"/>
      </w:rPr>
      <w:t>National Association of Community Health Centers, Inc.</w:t>
    </w:r>
  </w:p>
  <w:p w:rsidR="00D77237" w:rsidRPr="008A78AB" w:rsidRDefault="00D77237" w:rsidP="00D77237">
    <w:pPr>
      <w:tabs>
        <w:tab w:val="left" w:pos="2340"/>
      </w:tabs>
      <w:jc w:val="center"/>
      <w:rPr>
        <w:spacing w:val="0"/>
        <w:sz w:val="20"/>
        <w:szCs w:val="20"/>
        <w:lang w:val="de-DE"/>
      </w:rPr>
    </w:pPr>
    <w:r w:rsidRPr="008A78AB">
      <w:rPr>
        <w:spacing w:val="0"/>
        <w:sz w:val="20"/>
        <w:szCs w:val="20"/>
        <w:lang w:val="de-DE"/>
      </w:rPr>
      <w:t>and Feldesman Tucker Leifer Fidell LLP</w:t>
    </w:r>
  </w:p>
  <w:p w:rsidR="00D77237" w:rsidRPr="00503CAA" w:rsidRDefault="00D77237" w:rsidP="00D77237">
    <w:pPr>
      <w:tabs>
        <w:tab w:val="left" w:pos="2340"/>
      </w:tabs>
      <w:jc w:val="center"/>
      <w:rPr>
        <w:sz w:val="20"/>
        <w:szCs w:val="20"/>
        <w:lang w:val="de-DE"/>
      </w:rPr>
    </w:pPr>
  </w:p>
  <w:p w:rsidR="005554C5" w:rsidRPr="00D77237" w:rsidRDefault="00D77237" w:rsidP="00D77237">
    <w:pPr>
      <w:tabs>
        <w:tab w:val="left" w:pos="2340"/>
      </w:tabs>
      <w:jc w:val="center"/>
      <w:rPr>
        <w:sz w:val="20"/>
        <w:szCs w:val="20"/>
        <w:lang w:val="de-DE"/>
      </w:rPr>
    </w:pPr>
    <w:r w:rsidRPr="00503CAA">
      <w:rPr>
        <w:rStyle w:val="PageNumber"/>
        <w:sz w:val="20"/>
        <w:szCs w:val="20"/>
      </w:rPr>
      <w:fldChar w:fldCharType="begin"/>
    </w:r>
    <w:r w:rsidRPr="00503CAA">
      <w:rPr>
        <w:rStyle w:val="PageNumber"/>
        <w:sz w:val="20"/>
        <w:szCs w:val="20"/>
      </w:rPr>
      <w:instrText xml:space="preserve"> PAGE </w:instrText>
    </w:r>
    <w:r w:rsidRPr="00503CAA">
      <w:rPr>
        <w:rStyle w:val="PageNumber"/>
        <w:sz w:val="20"/>
        <w:szCs w:val="20"/>
      </w:rPr>
      <w:fldChar w:fldCharType="separate"/>
    </w:r>
    <w:r w:rsidR="009B3121">
      <w:rPr>
        <w:rStyle w:val="PageNumber"/>
        <w:noProof/>
        <w:sz w:val="20"/>
        <w:szCs w:val="20"/>
      </w:rPr>
      <w:t>1</w:t>
    </w:r>
    <w:r w:rsidRPr="00503CAA">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C5" w:rsidRDefault="005554C5" w:rsidP="005554C5">
      <w:r>
        <w:separator/>
      </w:r>
    </w:p>
  </w:footnote>
  <w:footnote w:type="continuationSeparator" w:id="0">
    <w:p w:rsidR="005554C5" w:rsidRDefault="005554C5" w:rsidP="005554C5">
      <w:r>
        <w:continuationSeparator/>
      </w:r>
    </w:p>
  </w:footnote>
  <w:footnote w:id="1">
    <w:p w:rsidR="00FA7BF3" w:rsidRDefault="00FA7BF3" w:rsidP="00ED336D">
      <w:pPr>
        <w:pStyle w:val="FootnoteText"/>
        <w:ind w:left="360" w:hanging="360"/>
      </w:pPr>
      <w:r>
        <w:rPr>
          <w:rStyle w:val="FootnoteReference"/>
        </w:rPr>
        <w:footnoteRef/>
      </w:r>
      <w:r>
        <w:t xml:space="preserve"> </w:t>
      </w:r>
      <w:r w:rsidR="00ED336D">
        <w:tab/>
      </w:r>
      <w:r w:rsidRPr="00F21039">
        <w:rPr>
          <w:u w:val="single"/>
        </w:rPr>
        <w:t>See</w:t>
      </w:r>
      <w:r w:rsidRPr="002E4A25">
        <w:t xml:space="preserve"> </w:t>
      </w:r>
      <w:hyperlink r:id="rId1" w:history="1">
        <w:r>
          <w:rPr>
            <w:rStyle w:val="Hyperlink"/>
          </w:rPr>
          <w:t>Group purchasing p</w:t>
        </w:r>
        <w:r w:rsidRPr="00A64E08">
          <w:rPr>
            <w:rStyle w:val="Hyperlink"/>
          </w:rPr>
          <w:t>rograms</w:t>
        </w:r>
      </w:hyperlink>
      <w:r>
        <w:rPr>
          <w:rStyle w:val="Hyperlink"/>
        </w:rPr>
        <w:t>: Introductory guidance</w:t>
      </w:r>
      <w:r w:rsidRPr="002E4A25">
        <w:t>.</w:t>
      </w:r>
    </w:p>
  </w:footnote>
  <w:footnote w:id="2">
    <w:p w:rsidR="000368AC" w:rsidRDefault="000368AC" w:rsidP="00ED336D">
      <w:pPr>
        <w:pStyle w:val="FootnoteText"/>
        <w:ind w:left="360" w:hanging="360"/>
      </w:pPr>
      <w:r>
        <w:rPr>
          <w:rStyle w:val="FootnoteReference"/>
        </w:rPr>
        <w:footnoteRef/>
      </w:r>
      <w:r>
        <w:t xml:space="preserve"> </w:t>
      </w:r>
      <w:r w:rsidR="00ED336D">
        <w:tab/>
      </w:r>
      <w:hyperlink r:id="rId2" w:history="1">
        <w:r w:rsidR="00BC1AF6">
          <w:rPr>
            <w:rStyle w:val="Hyperlink"/>
          </w:rPr>
          <w:t>Bureau of Primary Health Care Primary Care Association Guide 2012-2013 (2012), p. 2</w:t>
        </w:r>
      </w:hyperlink>
      <w:r w:rsidR="00A42AAE">
        <w:t>.</w:t>
      </w:r>
    </w:p>
  </w:footnote>
  <w:footnote w:id="3">
    <w:p w:rsidR="002C2136" w:rsidRPr="002C2136" w:rsidRDefault="002C2136" w:rsidP="00ED336D">
      <w:pPr>
        <w:pStyle w:val="FootnoteText"/>
        <w:ind w:left="360" w:hanging="360"/>
      </w:pPr>
      <w:r>
        <w:rPr>
          <w:rStyle w:val="FootnoteReference"/>
        </w:rPr>
        <w:footnoteRef/>
      </w:r>
      <w:r>
        <w:t xml:space="preserve"> </w:t>
      </w:r>
      <w:r w:rsidR="00ED336D">
        <w:tab/>
      </w:r>
      <w:r>
        <w:rPr>
          <w:u w:val="single"/>
        </w:rPr>
        <w:t>Id.</w:t>
      </w:r>
    </w:p>
  </w:footnote>
  <w:footnote w:id="4">
    <w:p w:rsidR="00D77237" w:rsidRPr="00D77237" w:rsidRDefault="00D77237" w:rsidP="00ED336D">
      <w:pPr>
        <w:ind w:left="360" w:hanging="360"/>
        <w:rPr>
          <w:sz w:val="20"/>
          <w:szCs w:val="20"/>
        </w:rPr>
      </w:pPr>
      <w:r>
        <w:rPr>
          <w:rStyle w:val="FootnoteReference"/>
        </w:rPr>
        <w:footnoteRef/>
      </w:r>
      <w:r>
        <w:t xml:space="preserve"> </w:t>
      </w:r>
      <w:r w:rsidR="00ED336D">
        <w:tab/>
      </w:r>
      <w:r w:rsidRPr="00403C01">
        <w:rPr>
          <w:sz w:val="20"/>
          <w:szCs w:val="20"/>
        </w:rPr>
        <w:t xml:space="preserve">The Authors of these materials include attorneys at the law firm of Feldesman Tucker Leifer Fidell LLP.  The </w:t>
      </w:r>
      <w:r w:rsidR="00732848" w:rsidRPr="00181EF9">
        <w:rPr>
          <w:color w:val="000000"/>
          <w:spacing w:val="-4"/>
          <w:sz w:val="20"/>
          <w:szCs w:val="20"/>
        </w:rPr>
        <w:t>adv</w:t>
      </w:r>
      <w:r w:rsidR="00732848" w:rsidRPr="00181EF9">
        <w:rPr>
          <w:color w:val="000000"/>
          <w:spacing w:val="-2"/>
          <w:sz w:val="20"/>
          <w:szCs w:val="20"/>
        </w:rPr>
        <w:t>i</w:t>
      </w:r>
      <w:r w:rsidR="00732848" w:rsidRPr="00181EF9">
        <w:rPr>
          <w:color w:val="000000"/>
          <w:spacing w:val="-4"/>
          <w:sz w:val="20"/>
          <w:szCs w:val="20"/>
        </w:rPr>
        <w:t>c</w:t>
      </w:r>
      <w:r w:rsidR="00732848" w:rsidRPr="00181EF9">
        <w:rPr>
          <w:color w:val="000000"/>
          <w:sz w:val="20"/>
          <w:szCs w:val="20"/>
        </w:rPr>
        <w:t xml:space="preserve">e </w:t>
      </w:r>
      <w:r w:rsidR="00732848" w:rsidRPr="00181EF9">
        <w:rPr>
          <w:color w:val="000000"/>
          <w:spacing w:val="-2"/>
          <w:sz w:val="20"/>
          <w:szCs w:val="20"/>
        </w:rPr>
        <w:t>a</w:t>
      </w:r>
      <w:r w:rsidR="00732848" w:rsidRPr="00181EF9">
        <w:rPr>
          <w:color w:val="000000"/>
          <w:sz w:val="20"/>
          <w:szCs w:val="20"/>
        </w:rPr>
        <w:t xml:space="preserve">nd </w:t>
      </w:r>
      <w:r w:rsidR="00732848" w:rsidRPr="00181EF9">
        <w:rPr>
          <w:color w:val="000000"/>
          <w:spacing w:val="-4"/>
          <w:sz w:val="20"/>
          <w:szCs w:val="20"/>
        </w:rPr>
        <w:t>r</w:t>
      </w:r>
      <w:r w:rsidR="00732848" w:rsidRPr="00181EF9">
        <w:rPr>
          <w:color w:val="000000"/>
          <w:spacing w:val="-2"/>
          <w:sz w:val="20"/>
          <w:szCs w:val="20"/>
        </w:rPr>
        <w:t>e</w:t>
      </w:r>
      <w:r w:rsidR="00732848" w:rsidRPr="00181EF9">
        <w:rPr>
          <w:color w:val="000000"/>
          <w:spacing w:val="-4"/>
          <w:sz w:val="20"/>
          <w:szCs w:val="20"/>
        </w:rPr>
        <w:t>c</w:t>
      </w:r>
      <w:r w:rsidR="00732848" w:rsidRPr="00181EF9">
        <w:rPr>
          <w:color w:val="000000"/>
          <w:sz w:val="20"/>
          <w:szCs w:val="20"/>
        </w:rPr>
        <w:t>o</w:t>
      </w:r>
      <w:r w:rsidR="00732848" w:rsidRPr="00181EF9">
        <w:rPr>
          <w:color w:val="000000"/>
          <w:spacing w:val="-4"/>
          <w:sz w:val="20"/>
          <w:szCs w:val="20"/>
        </w:rPr>
        <w:t>m</w:t>
      </w:r>
      <w:r w:rsidR="00732848" w:rsidRPr="00181EF9">
        <w:rPr>
          <w:color w:val="000000"/>
          <w:sz w:val="20"/>
          <w:szCs w:val="20"/>
        </w:rPr>
        <w:t>m</w:t>
      </w:r>
      <w:r w:rsidR="00732848" w:rsidRPr="00181EF9">
        <w:rPr>
          <w:color w:val="000000"/>
          <w:spacing w:val="-4"/>
          <w:sz w:val="20"/>
          <w:szCs w:val="20"/>
        </w:rPr>
        <w:t>en</w:t>
      </w:r>
      <w:r w:rsidR="00732848" w:rsidRPr="00181EF9">
        <w:rPr>
          <w:color w:val="000000"/>
          <w:spacing w:val="-2"/>
          <w:sz w:val="20"/>
          <w:szCs w:val="20"/>
        </w:rPr>
        <w:t>d</w:t>
      </w:r>
      <w:r w:rsidR="00732848" w:rsidRPr="00181EF9">
        <w:rPr>
          <w:color w:val="000000"/>
          <w:sz w:val="20"/>
          <w:szCs w:val="20"/>
        </w:rPr>
        <w:t>a</w:t>
      </w:r>
      <w:r w:rsidR="00732848" w:rsidRPr="00181EF9">
        <w:rPr>
          <w:color w:val="000000"/>
          <w:spacing w:val="-4"/>
          <w:sz w:val="20"/>
          <w:szCs w:val="20"/>
        </w:rPr>
        <w:t>ti</w:t>
      </w:r>
      <w:r w:rsidR="00732848" w:rsidRPr="00181EF9">
        <w:rPr>
          <w:color w:val="000000"/>
          <w:sz w:val="20"/>
          <w:szCs w:val="20"/>
        </w:rPr>
        <w:t>o</w:t>
      </w:r>
      <w:r w:rsidR="00732848" w:rsidRPr="00181EF9">
        <w:rPr>
          <w:color w:val="000000"/>
          <w:spacing w:val="-4"/>
          <w:sz w:val="20"/>
          <w:szCs w:val="20"/>
        </w:rPr>
        <w:t>n</w:t>
      </w:r>
      <w:r w:rsidR="00732848" w:rsidRPr="00181EF9">
        <w:rPr>
          <w:color w:val="000000"/>
          <w:sz w:val="20"/>
          <w:szCs w:val="20"/>
        </w:rPr>
        <w:t>s c</w:t>
      </w:r>
      <w:r w:rsidR="00732848" w:rsidRPr="00181EF9">
        <w:rPr>
          <w:color w:val="000000"/>
          <w:spacing w:val="-4"/>
          <w:sz w:val="20"/>
          <w:szCs w:val="20"/>
        </w:rPr>
        <w:t>o</w:t>
      </w:r>
      <w:r w:rsidR="00732848" w:rsidRPr="00181EF9">
        <w:rPr>
          <w:color w:val="000000"/>
          <w:sz w:val="20"/>
          <w:szCs w:val="20"/>
        </w:rPr>
        <w:t>ns</w:t>
      </w:r>
      <w:r w:rsidR="00732848" w:rsidRPr="00181EF9">
        <w:rPr>
          <w:color w:val="000000"/>
          <w:spacing w:val="-4"/>
          <w:sz w:val="20"/>
          <w:szCs w:val="20"/>
        </w:rPr>
        <w:t>i</w:t>
      </w:r>
      <w:r w:rsidR="00732848" w:rsidRPr="00181EF9">
        <w:rPr>
          <w:color w:val="000000"/>
          <w:spacing w:val="-2"/>
          <w:sz w:val="20"/>
          <w:szCs w:val="20"/>
        </w:rPr>
        <w:t>s</w:t>
      </w:r>
      <w:r w:rsidR="00732848" w:rsidRPr="00181EF9">
        <w:rPr>
          <w:color w:val="000000"/>
          <w:sz w:val="20"/>
          <w:szCs w:val="20"/>
        </w:rPr>
        <w:t>t</w:t>
      </w:r>
      <w:r w:rsidR="00732848" w:rsidRPr="00181EF9">
        <w:rPr>
          <w:color w:val="000000"/>
          <w:spacing w:val="-2"/>
          <w:sz w:val="20"/>
          <w:szCs w:val="20"/>
        </w:rPr>
        <w:t xml:space="preserve"> </w:t>
      </w:r>
      <w:r w:rsidR="00732848" w:rsidRPr="00181EF9">
        <w:rPr>
          <w:color w:val="000000"/>
          <w:spacing w:val="-4"/>
          <w:sz w:val="20"/>
          <w:szCs w:val="20"/>
        </w:rPr>
        <w:t>o</w:t>
      </w:r>
      <w:r w:rsidR="00732848" w:rsidRPr="00181EF9">
        <w:rPr>
          <w:color w:val="000000"/>
          <w:sz w:val="20"/>
          <w:szCs w:val="20"/>
        </w:rPr>
        <w:t xml:space="preserve">f </w:t>
      </w:r>
      <w:r w:rsidR="00732848" w:rsidRPr="00181EF9">
        <w:rPr>
          <w:color w:val="000000"/>
          <w:spacing w:val="-4"/>
          <w:sz w:val="20"/>
          <w:szCs w:val="20"/>
        </w:rPr>
        <w:t>g</w:t>
      </w:r>
      <w:r w:rsidR="00732848" w:rsidRPr="00181EF9">
        <w:rPr>
          <w:color w:val="000000"/>
          <w:spacing w:val="-2"/>
          <w:sz w:val="20"/>
          <w:szCs w:val="20"/>
        </w:rPr>
        <w:t>e</w:t>
      </w:r>
      <w:r w:rsidR="00732848" w:rsidRPr="00181EF9">
        <w:rPr>
          <w:color w:val="000000"/>
          <w:spacing w:val="-4"/>
          <w:sz w:val="20"/>
          <w:szCs w:val="20"/>
        </w:rPr>
        <w:t>nera</w:t>
      </w:r>
      <w:r w:rsidR="00732848" w:rsidRPr="00181EF9">
        <w:rPr>
          <w:color w:val="000000"/>
          <w:sz w:val="20"/>
          <w:szCs w:val="20"/>
        </w:rPr>
        <w:t xml:space="preserve">l </w:t>
      </w:r>
      <w:r w:rsidR="00732848" w:rsidRPr="00181EF9">
        <w:rPr>
          <w:color w:val="000000"/>
          <w:spacing w:val="-4"/>
          <w:sz w:val="20"/>
          <w:szCs w:val="20"/>
        </w:rPr>
        <w:t>g</w:t>
      </w:r>
      <w:r w:rsidR="00732848" w:rsidRPr="00181EF9">
        <w:rPr>
          <w:color w:val="000000"/>
          <w:sz w:val="20"/>
          <w:szCs w:val="20"/>
        </w:rPr>
        <w:t>u</w:t>
      </w:r>
      <w:r w:rsidR="00732848" w:rsidRPr="00181EF9">
        <w:rPr>
          <w:color w:val="000000"/>
          <w:spacing w:val="-2"/>
          <w:sz w:val="20"/>
          <w:szCs w:val="20"/>
        </w:rPr>
        <w:t>i</w:t>
      </w:r>
      <w:r w:rsidR="00732848" w:rsidRPr="00181EF9">
        <w:rPr>
          <w:color w:val="000000"/>
          <w:spacing w:val="-4"/>
          <w:sz w:val="20"/>
          <w:szCs w:val="20"/>
        </w:rPr>
        <w:t>d</w:t>
      </w:r>
      <w:r w:rsidR="00732848" w:rsidRPr="00181EF9">
        <w:rPr>
          <w:color w:val="000000"/>
          <w:sz w:val="20"/>
          <w:szCs w:val="20"/>
        </w:rPr>
        <w:t>a</w:t>
      </w:r>
      <w:r w:rsidR="00732848" w:rsidRPr="00181EF9">
        <w:rPr>
          <w:color w:val="000000"/>
          <w:spacing w:val="-4"/>
          <w:sz w:val="20"/>
          <w:szCs w:val="20"/>
        </w:rPr>
        <w:t>nc</w:t>
      </w:r>
      <w:r w:rsidR="00732848" w:rsidRPr="00181EF9">
        <w:rPr>
          <w:color w:val="000000"/>
          <w:sz w:val="20"/>
          <w:szCs w:val="20"/>
        </w:rPr>
        <w:t>e</w:t>
      </w:r>
      <w:r w:rsidR="00732848" w:rsidRPr="00181EF9">
        <w:rPr>
          <w:color w:val="000000"/>
          <w:spacing w:val="-2"/>
          <w:sz w:val="20"/>
          <w:szCs w:val="20"/>
        </w:rPr>
        <w:t xml:space="preserve"> </w:t>
      </w:r>
      <w:r w:rsidR="00732848" w:rsidRPr="00181EF9">
        <w:rPr>
          <w:color w:val="000000"/>
          <w:spacing w:val="-4"/>
          <w:sz w:val="20"/>
          <w:szCs w:val="20"/>
        </w:rPr>
        <w:t>b</w:t>
      </w:r>
      <w:r w:rsidR="00732848" w:rsidRPr="00181EF9">
        <w:rPr>
          <w:color w:val="000000"/>
          <w:sz w:val="20"/>
          <w:szCs w:val="20"/>
        </w:rPr>
        <w:t>a</w:t>
      </w:r>
      <w:r w:rsidR="00732848" w:rsidRPr="00181EF9">
        <w:rPr>
          <w:color w:val="000000"/>
          <w:spacing w:val="-2"/>
          <w:sz w:val="20"/>
          <w:szCs w:val="20"/>
        </w:rPr>
        <w:t>s</w:t>
      </w:r>
      <w:r w:rsidR="00732848" w:rsidRPr="00181EF9">
        <w:rPr>
          <w:color w:val="000000"/>
          <w:spacing w:val="-4"/>
          <w:sz w:val="20"/>
          <w:szCs w:val="20"/>
        </w:rPr>
        <w:t>e</w:t>
      </w:r>
      <w:r w:rsidR="00732848" w:rsidRPr="00181EF9">
        <w:rPr>
          <w:color w:val="000000"/>
          <w:sz w:val="20"/>
          <w:szCs w:val="20"/>
        </w:rPr>
        <w:t xml:space="preserve">d </w:t>
      </w:r>
      <w:r w:rsidR="00732848">
        <w:rPr>
          <w:sz w:val="20"/>
          <w:szCs w:val="20"/>
        </w:rPr>
        <w:t>on federal law and regulations</w:t>
      </w:r>
      <w:r w:rsidRPr="00403C01">
        <w:rPr>
          <w:sz w:val="20"/>
          <w:szCs w:val="20"/>
        </w:rPr>
        <w:t xml:space="preserve"> and do not necessarily apply to all R/SPCAs under all facts and circumstances.  Further, these materials do not replace, and are not a substitute for, legal advice from qualified legal counsel.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C5" w:rsidRPr="008A78AB" w:rsidRDefault="005554C5" w:rsidP="005554C5">
    <w:pPr>
      <w:jc w:val="center"/>
      <w:rPr>
        <w:spacing w:val="0"/>
        <w:sz w:val="20"/>
      </w:rPr>
    </w:pPr>
    <w:r w:rsidRPr="008A78AB">
      <w:rPr>
        <w:spacing w:val="0"/>
        <w:sz w:val="20"/>
      </w:rPr>
      <w:t>V</w:t>
    </w:r>
    <w:r w:rsidR="001B639F" w:rsidRPr="008A78AB">
      <w:rPr>
        <w:spacing w:val="0"/>
        <w:sz w:val="20"/>
      </w:rPr>
      <w:t xml:space="preserve">olume II: </w:t>
    </w:r>
    <w:r w:rsidRPr="008A78AB">
      <w:rPr>
        <w:spacing w:val="0"/>
        <w:sz w:val="20"/>
      </w:rPr>
      <w:t>PCA</w:t>
    </w:r>
    <w:r w:rsidR="001B639F" w:rsidRPr="008A78AB">
      <w:rPr>
        <w:spacing w:val="0"/>
        <w:sz w:val="20"/>
      </w:rPr>
      <w:t>-HCCN</w:t>
    </w:r>
    <w:r w:rsidRPr="008A78AB">
      <w:rPr>
        <w:spacing w:val="0"/>
        <w:sz w:val="20"/>
      </w:rPr>
      <w:t xml:space="preserve"> Risk Areas</w:t>
    </w:r>
  </w:p>
  <w:p w:rsidR="005554C5" w:rsidRPr="008A78AB" w:rsidRDefault="005554C5" w:rsidP="005554C5">
    <w:pPr>
      <w:pBdr>
        <w:bottom w:val="single" w:sz="12" w:space="0" w:color="auto"/>
      </w:pBdr>
      <w:jc w:val="center"/>
      <w:rPr>
        <w:spacing w:val="0"/>
        <w:sz w:val="20"/>
      </w:rPr>
    </w:pPr>
    <w:r w:rsidRPr="008A78AB">
      <w:rPr>
        <w:spacing w:val="0"/>
        <w:sz w:val="20"/>
      </w:rPr>
      <w:t>Product Development</w:t>
    </w:r>
  </w:p>
  <w:p w:rsidR="005554C5" w:rsidRPr="00014E7E" w:rsidRDefault="005554C5" w:rsidP="005554C5">
    <w:pPr>
      <w:pBdr>
        <w:bottom w:val="single" w:sz="12" w:space="0" w:color="auto"/>
      </w:pBdr>
      <w:jc w:val="center"/>
      <w:rPr>
        <w:sz w:val="20"/>
      </w:rPr>
    </w:pPr>
  </w:p>
  <w:p w:rsidR="005554C5" w:rsidRDefault="00555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51CE"/>
    <w:multiLevelType w:val="hybridMultilevel"/>
    <w:tmpl w:val="173A6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706D8"/>
    <w:multiLevelType w:val="hybridMultilevel"/>
    <w:tmpl w:val="8B4E9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C821DB"/>
    <w:multiLevelType w:val="hybridMultilevel"/>
    <w:tmpl w:val="061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DE74B7"/>
    <w:multiLevelType w:val="hybridMultilevel"/>
    <w:tmpl w:val="A50897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89D3F80"/>
    <w:multiLevelType w:val="hybridMultilevel"/>
    <w:tmpl w:val="BF20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1C4E1A"/>
    <w:multiLevelType w:val="hybridMultilevel"/>
    <w:tmpl w:val="E9A2A61C"/>
    <w:lvl w:ilvl="0" w:tplc="8DE03710">
      <w:start w:val="1"/>
      <w:numFmt w:val="upperLetter"/>
      <w:lvlText w:val="%1."/>
      <w:lvlJc w:val="left"/>
      <w:pPr>
        <w:tabs>
          <w:tab w:val="num" w:pos="1440"/>
        </w:tabs>
        <w:ind w:left="1440" w:hanging="720"/>
      </w:pPr>
      <w:rPr>
        <w:rFonts w:hint="default"/>
        <w:b/>
        <w:i w:val="0"/>
      </w:rPr>
    </w:lvl>
    <w:lvl w:ilvl="1" w:tplc="FD58B4E8">
      <w:start w:val="1"/>
      <w:numFmt w:val="decimal"/>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8195467"/>
    <w:multiLevelType w:val="hybridMultilevel"/>
    <w:tmpl w:val="93CA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801740"/>
    <w:multiLevelType w:val="hybridMultilevel"/>
    <w:tmpl w:val="8CEA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69"/>
    <w:rsid w:val="00006A9E"/>
    <w:rsid w:val="0000738F"/>
    <w:rsid w:val="000227AD"/>
    <w:rsid w:val="000368AC"/>
    <w:rsid w:val="00077A6D"/>
    <w:rsid w:val="000B4285"/>
    <w:rsid w:val="000C3103"/>
    <w:rsid w:val="00186080"/>
    <w:rsid w:val="001B639F"/>
    <w:rsid w:val="00235D7B"/>
    <w:rsid w:val="00275130"/>
    <w:rsid w:val="002A5BA3"/>
    <w:rsid w:val="002C2136"/>
    <w:rsid w:val="002D4EE3"/>
    <w:rsid w:val="002E4A25"/>
    <w:rsid w:val="002F5A7E"/>
    <w:rsid w:val="002F7FCD"/>
    <w:rsid w:val="00321AF3"/>
    <w:rsid w:val="00324D3D"/>
    <w:rsid w:val="0036018B"/>
    <w:rsid w:val="003A6553"/>
    <w:rsid w:val="003B6773"/>
    <w:rsid w:val="00402749"/>
    <w:rsid w:val="00425550"/>
    <w:rsid w:val="004824AD"/>
    <w:rsid w:val="004906BA"/>
    <w:rsid w:val="004D4116"/>
    <w:rsid w:val="00531146"/>
    <w:rsid w:val="00542576"/>
    <w:rsid w:val="005554C5"/>
    <w:rsid w:val="005722C5"/>
    <w:rsid w:val="005B78B3"/>
    <w:rsid w:val="005C0006"/>
    <w:rsid w:val="005C54AE"/>
    <w:rsid w:val="005F1106"/>
    <w:rsid w:val="006A57C3"/>
    <w:rsid w:val="006B17FF"/>
    <w:rsid w:val="006D052C"/>
    <w:rsid w:val="0070735E"/>
    <w:rsid w:val="00712815"/>
    <w:rsid w:val="0072051A"/>
    <w:rsid w:val="00732848"/>
    <w:rsid w:val="00750074"/>
    <w:rsid w:val="007625CD"/>
    <w:rsid w:val="007D5295"/>
    <w:rsid w:val="007F6206"/>
    <w:rsid w:val="008902F0"/>
    <w:rsid w:val="008A7438"/>
    <w:rsid w:val="008A78AB"/>
    <w:rsid w:val="008D4D1E"/>
    <w:rsid w:val="00914D44"/>
    <w:rsid w:val="00920444"/>
    <w:rsid w:val="00936F2D"/>
    <w:rsid w:val="00946305"/>
    <w:rsid w:val="00947EDD"/>
    <w:rsid w:val="00957401"/>
    <w:rsid w:val="00957ED1"/>
    <w:rsid w:val="009B3121"/>
    <w:rsid w:val="009E3911"/>
    <w:rsid w:val="009E4C83"/>
    <w:rsid w:val="00A42AAE"/>
    <w:rsid w:val="00A64E08"/>
    <w:rsid w:val="00AD481F"/>
    <w:rsid w:val="00B460FE"/>
    <w:rsid w:val="00BC1AF6"/>
    <w:rsid w:val="00BC4489"/>
    <w:rsid w:val="00BD23E9"/>
    <w:rsid w:val="00C15F69"/>
    <w:rsid w:val="00C308E6"/>
    <w:rsid w:val="00C322D4"/>
    <w:rsid w:val="00C6161B"/>
    <w:rsid w:val="00CB54E3"/>
    <w:rsid w:val="00CD281F"/>
    <w:rsid w:val="00D02674"/>
    <w:rsid w:val="00D26D01"/>
    <w:rsid w:val="00D503B5"/>
    <w:rsid w:val="00D77237"/>
    <w:rsid w:val="00DA5DD4"/>
    <w:rsid w:val="00DB2F67"/>
    <w:rsid w:val="00E313BD"/>
    <w:rsid w:val="00E45481"/>
    <w:rsid w:val="00E552D2"/>
    <w:rsid w:val="00E60BD4"/>
    <w:rsid w:val="00EC697E"/>
    <w:rsid w:val="00ED336D"/>
    <w:rsid w:val="00EE222F"/>
    <w:rsid w:val="00EE783B"/>
    <w:rsid w:val="00F21039"/>
    <w:rsid w:val="00F3384A"/>
    <w:rsid w:val="00F7529D"/>
    <w:rsid w:val="00F81A7A"/>
    <w:rsid w:val="00FA7BF3"/>
    <w:rsid w:val="00FB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69"/>
    <w:pPr>
      <w:spacing w:after="0" w:line="240" w:lineRule="auto"/>
    </w:pPr>
    <w:rPr>
      <w:rFonts w:ascii="Times New Roman" w:eastAsia="Times New Roman" w:hAnsi="Times New Roman" w:cs="Times New Roman"/>
      <w:bCs/>
      <w:spacing w:val="-3"/>
      <w:sz w:val="24"/>
      <w:szCs w:val="24"/>
    </w:rPr>
  </w:style>
  <w:style w:type="paragraph" w:styleId="Heading6">
    <w:name w:val="heading 6"/>
    <w:basedOn w:val="Normal"/>
    <w:next w:val="Normal"/>
    <w:link w:val="Heading6Char"/>
    <w:qFormat/>
    <w:rsid w:val="00C15F69"/>
    <w:pPr>
      <w:keepNext/>
      <w:jc w:val="center"/>
      <w:outlineLvl w:val="5"/>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character" w:customStyle="1" w:styleId="Heading6Char">
    <w:name w:val="Heading 6 Char"/>
    <w:basedOn w:val="DefaultParagraphFont"/>
    <w:link w:val="Heading6"/>
    <w:rsid w:val="00C15F69"/>
    <w:rPr>
      <w:rFonts w:ascii="Times New Roman" w:eastAsia="Times New Roman" w:hAnsi="Times New Roman" w:cs="Times New Roman"/>
      <w:b/>
      <w:spacing w:val="-3"/>
      <w:sz w:val="24"/>
      <w:szCs w:val="24"/>
    </w:rPr>
  </w:style>
  <w:style w:type="paragraph" w:styleId="Header">
    <w:name w:val="header"/>
    <w:basedOn w:val="Normal"/>
    <w:link w:val="HeaderChar"/>
    <w:uiPriority w:val="99"/>
    <w:unhideWhenUsed/>
    <w:rsid w:val="005554C5"/>
    <w:pPr>
      <w:tabs>
        <w:tab w:val="center" w:pos="4680"/>
        <w:tab w:val="right" w:pos="9360"/>
      </w:tabs>
    </w:pPr>
  </w:style>
  <w:style w:type="character" w:customStyle="1" w:styleId="HeaderChar">
    <w:name w:val="Header Char"/>
    <w:basedOn w:val="DefaultParagraphFont"/>
    <w:link w:val="Header"/>
    <w:uiPriority w:val="99"/>
    <w:rsid w:val="005554C5"/>
    <w:rPr>
      <w:rFonts w:ascii="Times New Roman" w:eastAsia="Times New Roman" w:hAnsi="Times New Roman" w:cs="Times New Roman"/>
      <w:bCs/>
      <w:spacing w:val="-3"/>
      <w:sz w:val="24"/>
      <w:szCs w:val="24"/>
    </w:rPr>
  </w:style>
  <w:style w:type="paragraph" w:styleId="Footer">
    <w:name w:val="footer"/>
    <w:basedOn w:val="Normal"/>
    <w:link w:val="FooterChar"/>
    <w:uiPriority w:val="99"/>
    <w:unhideWhenUsed/>
    <w:rsid w:val="005554C5"/>
    <w:pPr>
      <w:tabs>
        <w:tab w:val="center" w:pos="4680"/>
        <w:tab w:val="right" w:pos="9360"/>
      </w:tabs>
    </w:pPr>
  </w:style>
  <w:style w:type="character" w:customStyle="1" w:styleId="FooterChar">
    <w:name w:val="Footer Char"/>
    <w:basedOn w:val="DefaultParagraphFont"/>
    <w:link w:val="Footer"/>
    <w:uiPriority w:val="99"/>
    <w:rsid w:val="005554C5"/>
    <w:rPr>
      <w:rFonts w:ascii="Times New Roman" w:eastAsia="Times New Roman" w:hAnsi="Times New Roman" w:cs="Times New Roman"/>
      <w:bCs/>
      <w:spacing w:val="-3"/>
      <w:sz w:val="24"/>
      <w:szCs w:val="24"/>
    </w:rPr>
  </w:style>
  <w:style w:type="paragraph" w:styleId="BalloonText">
    <w:name w:val="Balloon Text"/>
    <w:basedOn w:val="Normal"/>
    <w:link w:val="BalloonTextChar"/>
    <w:uiPriority w:val="99"/>
    <w:semiHidden/>
    <w:unhideWhenUsed/>
    <w:rsid w:val="005554C5"/>
    <w:rPr>
      <w:rFonts w:ascii="Tahoma" w:hAnsi="Tahoma" w:cs="Tahoma"/>
      <w:sz w:val="16"/>
      <w:szCs w:val="16"/>
    </w:rPr>
  </w:style>
  <w:style w:type="character" w:customStyle="1" w:styleId="BalloonTextChar">
    <w:name w:val="Balloon Text Char"/>
    <w:basedOn w:val="DefaultParagraphFont"/>
    <w:link w:val="BalloonText"/>
    <w:uiPriority w:val="99"/>
    <w:semiHidden/>
    <w:rsid w:val="005554C5"/>
    <w:rPr>
      <w:rFonts w:ascii="Tahoma" w:eastAsia="Times New Roman" w:hAnsi="Tahoma" w:cs="Tahoma"/>
      <w:bCs/>
      <w:spacing w:val="-3"/>
      <w:sz w:val="16"/>
      <w:szCs w:val="16"/>
    </w:rPr>
  </w:style>
  <w:style w:type="character" w:styleId="Hyperlink">
    <w:name w:val="Hyperlink"/>
    <w:basedOn w:val="DefaultParagraphFont"/>
    <w:uiPriority w:val="99"/>
    <w:unhideWhenUsed/>
    <w:rsid w:val="008902F0"/>
    <w:rPr>
      <w:color w:val="0000FF" w:themeColor="hyperlink"/>
      <w:u w:val="single"/>
    </w:rPr>
  </w:style>
  <w:style w:type="character" w:styleId="PageNumber">
    <w:name w:val="page number"/>
    <w:semiHidden/>
    <w:unhideWhenUsed/>
    <w:rsid w:val="00D77237"/>
  </w:style>
  <w:style w:type="paragraph" w:styleId="FootnoteText">
    <w:name w:val="footnote text"/>
    <w:basedOn w:val="Normal"/>
    <w:link w:val="FootnoteTextChar"/>
    <w:uiPriority w:val="99"/>
    <w:semiHidden/>
    <w:unhideWhenUsed/>
    <w:rsid w:val="00D77237"/>
    <w:rPr>
      <w:sz w:val="20"/>
      <w:szCs w:val="20"/>
    </w:rPr>
  </w:style>
  <w:style w:type="character" w:customStyle="1" w:styleId="FootnoteTextChar">
    <w:name w:val="Footnote Text Char"/>
    <w:basedOn w:val="DefaultParagraphFont"/>
    <w:link w:val="FootnoteText"/>
    <w:uiPriority w:val="99"/>
    <w:semiHidden/>
    <w:rsid w:val="00D77237"/>
    <w:rPr>
      <w:rFonts w:ascii="Times New Roman" w:eastAsia="Times New Roman" w:hAnsi="Times New Roman" w:cs="Times New Roman"/>
      <w:bCs/>
      <w:spacing w:val="-3"/>
      <w:sz w:val="20"/>
      <w:szCs w:val="20"/>
    </w:rPr>
  </w:style>
  <w:style w:type="character" w:styleId="FootnoteReference">
    <w:name w:val="footnote reference"/>
    <w:basedOn w:val="DefaultParagraphFont"/>
    <w:uiPriority w:val="99"/>
    <w:semiHidden/>
    <w:unhideWhenUsed/>
    <w:rsid w:val="00D77237"/>
    <w:rPr>
      <w:vertAlign w:val="superscript"/>
    </w:rPr>
  </w:style>
  <w:style w:type="paragraph" w:styleId="ListParagraph">
    <w:name w:val="List Paragraph"/>
    <w:basedOn w:val="Normal"/>
    <w:uiPriority w:val="34"/>
    <w:qFormat/>
    <w:rsid w:val="00E552D2"/>
    <w:pPr>
      <w:ind w:left="720"/>
      <w:contextualSpacing/>
    </w:pPr>
  </w:style>
  <w:style w:type="character" w:styleId="FollowedHyperlink">
    <w:name w:val="FollowedHyperlink"/>
    <w:basedOn w:val="DefaultParagraphFont"/>
    <w:uiPriority w:val="99"/>
    <w:semiHidden/>
    <w:unhideWhenUsed/>
    <w:rsid w:val="00E454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69"/>
    <w:pPr>
      <w:spacing w:after="0" w:line="240" w:lineRule="auto"/>
    </w:pPr>
    <w:rPr>
      <w:rFonts w:ascii="Times New Roman" w:eastAsia="Times New Roman" w:hAnsi="Times New Roman" w:cs="Times New Roman"/>
      <w:bCs/>
      <w:spacing w:val="-3"/>
      <w:sz w:val="24"/>
      <w:szCs w:val="24"/>
    </w:rPr>
  </w:style>
  <w:style w:type="paragraph" w:styleId="Heading6">
    <w:name w:val="heading 6"/>
    <w:basedOn w:val="Normal"/>
    <w:next w:val="Normal"/>
    <w:link w:val="Heading6Char"/>
    <w:qFormat/>
    <w:rsid w:val="00C15F69"/>
    <w:pPr>
      <w:keepNext/>
      <w:jc w:val="center"/>
      <w:outlineLvl w:val="5"/>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character" w:customStyle="1" w:styleId="Heading6Char">
    <w:name w:val="Heading 6 Char"/>
    <w:basedOn w:val="DefaultParagraphFont"/>
    <w:link w:val="Heading6"/>
    <w:rsid w:val="00C15F69"/>
    <w:rPr>
      <w:rFonts w:ascii="Times New Roman" w:eastAsia="Times New Roman" w:hAnsi="Times New Roman" w:cs="Times New Roman"/>
      <w:b/>
      <w:spacing w:val="-3"/>
      <w:sz w:val="24"/>
      <w:szCs w:val="24"/>
    </w:rPr>
  </w:style>
  <w:style w:type="paragraph" w:styleId="Header">
    <w:name w:val="header"/>
    <w:basedOn w:val="Normal"/>
    <w:link w:val="HeaderChar"/>
    <w:uiPriority w:val="99"/>
    <w:unhideWhenUsed/>
    <w:rsid w:val="005554C5"/>
    <w:pPr>
      <w:tabs>
        <w:tab w:val="center" w:pos="4680"/>
        <w:tab w:val="right" w:pos="9360"/>
      </w:tabs>
    </w:pPr>
  </w:style>
  <w:style w:type="character" w:customStyle="1" w:styleId="HeaderChar">
    <w:name w:val="Header Char"/>
    <w:basedOn w:val="DefaultParagraphFont"/>
    <w:link w:val="Header"/>
    <w:uiPriority w:val="99"/>
    <w:rsid w:val="005554C5"/>
    <w:rPr>
      <w:rFonts w:ascii="Times New Roman" w:eastAsia="Times New Roman" w:hAnsi="Times New Roman" w:cs="Times New Roman"/>
      <w:bCs/>
      <w:spacing w:val="-3"/>
      <w:sz w:val="24"/>
      <w:szCs w:val="24"/>
    </w:rPr>
  </w:style>
  <w:style w:type="paragraph" w:styleId="Footer">
    <w:name w:val="footer"/>
    <w:basedOn w:val="Normal"/>
    <w:link w:val="FooterChar"/>
    <w:uiPriority w:val="99"/>
    <w:unhideWhenUsed/>
    <w:rsid w:val="005554C5"/>
    <w:pPr>
      <w:tabs>
        <w:tab w:val="center" w:pos="4680"/>
        <w:tab w:val="right" w:pos="9360"/>
      </w:tabs>
    </w:pPr>
  </w:style>
  <w:style w:type="character" w:customStyle="1" w:styleId="FooterChar">
    <w:name w:val="Footer Char"/>
    <w:basedOn w:val="DefaultParagraphFont"/>
    <w:link w:val="Footer"/>
    <w:uiPriority w:val="99"/>
    <w:rsid w:val="005554C5"/>
    <w:rPr>
      <w:rFonts w:ascii="Times New Roman" w:eastAsia="Times New Roman" w:hAnsi="Times New Roman" w:cs="Times New Roman"/>
      <w:bCs/>
      <w:spacing w:val="-3"/>
      <w:sz w:val="24"/>
      <w:szCs w:val="24"/>
    </w:rPr>
  </w:style>
  <w:style w:type="paragraph" w:styleId="BalloonText">
    <w:name w:val="Balloon Text"/>
    <w:basedOn w:val="Normal"/>
    <w:link w:val="BalloonTextChar"/>
    <w:uiPriority w:val="99"/>
    <w:semiHidden/>
    <w:unhideWhenUsed/>
    <w:rsid w:val="005554C5"/>
    <w:rPr>
      <w:rFonts w:ascii="Tahoma" w:hAnsi="Tahoma" w:cs="Tahoma"/>
      <w:sz w:val="16"/>
      <w:szCs w:val="16"/>
    </w:rPr>
  </w:style>
  <w:style w:type="character" w:customStyle="1" w:styleId="BalloonTextChar">
    <w:name w:val="Balloon Text Char"/>
    <w:basedOn w:val="DefaultParagraphFont"/>
    <w:link w:val="BalloonText"/>
    <w:uiPriority w:val="99"/>
    <w:semiHidden/>
    <w:rsid w:val="005554C5"/>
    <w:rPr>
      <w:rFonts w:ascii="Tahoma" w:eastAsia="Times New Roman" w:hAnsi="Tahoma" w:cs="Tahoma"/>
      <w:bCs/>
      <w:spacing w:val="-3"/>
      <w:sz w:val="16"/>
      <w:szCs w:val="16"/>
    </w:rPr>
  </w:style>
  <w:style w:type="character" w:styleId="Hyperlink">
    <w:name w:val="Hyperlink"/>
    <w:basedOn w:val="DefaultParagraphFont"/>
    <w:uiPriority w:val="99"/>
    <w:unhideWhenUsed/>
    <w:rsid w:val="008902F0"/>
    <w:rPr>
      <w:color w:val="0000FF" w:themeColor="hyperlink"/>
      <w:u w:val="single"/>
    </w:rPr>
  </w:style>
  <w:style w:type="character" w:styleId="PageNumber">
    <w:name w:val="page number"/>
    <w:semiHidden/>
    <w:unhideWhenUsed/>
    <w:rsid w:val="00D77237"/>
  </w:style>
  <w:style w:type="paragraph" w:styleId="FootnoteText">
    <w:name w:val="footnote text"/>
    <w:basedOn w:val="Normal"/>
    <w:link w:val="FootnoteTextChar"/>
    <w:uiPriority w:val="99"/>
    <w:semiHidden/>
    <w:unhideWhenUsed/>
    <w:rsid w:val="00D77237"/>
    <w:rPr>
      <w:sz w:val="20"/>
      <w:szCs w:val="20"/>
    </w:rPr>
  </w:style>
  <w:style w:type="character" w:customStyle="1" w:styleId="FootnoteTextChar">
    <w:name w:val="Footnote Text Char"/>
    <w:basedOn w:val="DefaultParagraphFont"/>
    <w:link w:val="FootnoteText"/>
    <w:uiPriority w:val="99"/>
    <w:semiHidden/>
    <w:rsid w:val="00D77237"/>
    <w:rPr>
      <w:rFonts w:ascii="Times New Roman" w:eastAsia="Times New Roman" w:hAnsi="Times New Roman" w:cs="Times New Roman"/>
      <w:bCs/>
      <w:spacing w:val="-3"/>
      <w:sz w:val="20"/>
      <w:szCs w:val="20"/>
    </w:rPr>
  </w:style>
  <w:style w:type="character" w:styleId="FootnoteReference">
    <w:name w:val="footnote reference"/>
    <w:basedOn w:val="DefaultParagraphFont"/>
    <w:uiPriority w:val="99"/>
    <w:semiHidden/>
    <w:unhideWhenUsed/>
    <w:rsid w:val="00D77237"/>
    <w:rPr>
      <w:vertAlign w:val="superscript"/>
    </w:rPr>
  </w:style>
  <w:style w:type="paragraph" w:styleId="ListParagraph">
    <w:name w:val="List Paragraph"/>
    <w:basedOn w:val="Normal"/>
    <w:uiPriority w:val="34"/>
    <w:qFormat/>
    <w:rsid w:val="00E552D2"/>
    <w:pPr>
      <w:ind w:left="720"/>
      <w:contextualSpacing/>
    </w:pPr>
  </w:style>
  <w:style w:type="character" w:styleId="FollowedHyperlink">
    <w:name w:val="FollowedHyperlink"/>
    <w:basedOn w:val="DefaultParagraphFont"/>
    <w:uiPriority w:val="99"/>
    <w:semiHidden/>
    <w:unhideWhenUsed/>
    <w:rsid w:val="00E454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althcentercompliance.com/subscriber/pca-toolkit/volume-2/85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centercompliance.com/subscriber/pca-toolkit/volume-2/85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ealthcentercompliance.com/sites/healthcentercompliance.com/files/pca-toolkit-file-downloads/pin-2002-22.pdf" TargetMode="External"/><Relationship Id="rId4" Type="http://schemas.microsoft.com/office/2007/relationships/stylesWithEffects" Target="stylesWithEffects.xml"/><Relationship Id="rId9" Type="http://schemas.openxmlformats.org/officeDocument/2006/relationships/hyperlink" Target="http://www.healthcentercompliance.com/sites/healthcentercompliance.com/files/pca-toolkit-file-downloads/pin-2001-16.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healthcentercompliance.com/sites/healthcentercompliance.com/files/pca-toolkit-file-downloads/bphc-primary-care-association-guide-2012-2013.pdf" TargetMode="External"/><Relationship Id="rId1" Type="http://schemas.openxmlformats.org/officeDocument/2006/relationships/hyperlink" Target="http://www.healthcentercompliance.com/subscriber/pca-toolkit/volume-2/8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F1E79-B609-4FAE-9196-1A30DE5E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Feldesman Tucker Leifer Fidell LLP</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Falcone, Adam J.</dc:creator>
  <cp:lastModifiedBy>Zimbro, Karen</cp:lastModifiedBy>
  <cp:revision>3</cp:revision>
  <cp:lastPrinted>2015-11-09T19:29:00Z</cp:lastPrinted>
  <dcterms:created xsi:type="dcterms:W3CDTF">2015-11-09T19:27:00Z</dcterms:created>
  <dcterms:modified xsi:type="dcterms:W3CDTF">2015-11-09T19:31:00Z</dcterms:modified>
</cp:coreProperties>
</file>