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AA" w:rsidRPr="004B7C6D" w:rsidRDefault="00BA013A" w:rsidP="00BA013A">
      <w:pPr>
        <w:pStyle w:val="Title"/>
        <w:rPr>
          <w:rFonts w:ascii="Times New Roman" w:hAnsi="Times New Roman"/>
          <w:sz w:val="24"/>
          <w:szCs w:val="24"/>
        </w:rPr>
      </w:pPr>
      <w:bookmarkStart w:id="0" w:name="_GoBack"/>
      <w:bookmarkEnd w:id="0"/>
      <w:r w:rsidRPr="00D50A73">
        <w:rPr>
          <w:rFonts w:ascii="Times New Roman" w:hAnsi="Times New Roman"/>
          <w:sz w:val="32"/>
          <w:szCs w:val="32"/>
        </w:rPr>
        <w:t>Board Compliance Committee</w:t>
      </w:r>
      <w:r w:rsidR="004B7C6D" w:rsidRPr="00D50A73">
        <w:rPr>
          <w:rFonts w:ascii="Times New Roman" w:hAnsi="Times New Roman"/>
          <w:sz w:val="32"/>
          <w:szCs w:val="32"/>
        </w:rPr>
        <w:t xml:space="preserve"> </w:t>
      </w:r>
      <w:r w:rsidR="00564556" w:rsidRPr="00D50A73">
        <w:rPr>
          <w:rFonts w:ascii="Times New Roman" w:hAnsi="Times New Roman"/>
          <w:sz w:val="32"/>
          <w:szCs w:val="32"/>
        </w:rPr>
        <w:t>Charter</w:t>
      </w:r>
      <w:r w:rsidR="003B3EA0" w:rsidRPr="00D50A73">
        <w:rPr>
          <w:rStyle w:val="FootnoteReference"/>
          <w:rFonts w:ascii="Times New Roman" w:hAnsi="Times New Roman"/>
          <w:sz w:val="24"/>
          <w:szCs w:val="24"/>
        </w:rPr>
        <w:footnoteReference w:id="1"/>
      </w:r>
    </w:p>
    <w:p w:rsidR="007A5B2A" w:rsidRPr="004B7C6D" w:rsidRDefault="007A5B2A" w:rsidP="007A5B2A">
      <w:pPr>
        <w:pBdr>
          <w:bottom w:val="single" w:sz="12" w:space="1" w:color="auto"/>
        </w:pBdr>
        <w:autoSpaceDE w:val="0"/>
        <w:autoSpaceDN w:val="0"/>
        <w:adjustRightInd w:val="0"/>
        <w:jc w:val="both"/>
      </w:pPr>
    </w:p>
    <w:p w:rsidR="007A5B2A" w:rsidRPr="004B7C6D" w:rsidRDefault="007A5B2A" w:rsidP="00D50A73">
      <w:pPr>
        <w:pStyle w:val="Title"/>
        <w:jc w:val="left"/>
        <w:rPr>
          <w:rFonts w:ascii="Times New Roman" w:hAnsi="Times New Roman"/>
          <w:sz w:val="24"/>
          <w:szCs w:val="24"/>
        </w:rPr>
      </w:pPr>
    </w:p>
    <w:p w:rsidR="003D14AA" w:rsidRPr="004B7C6D" w:rsidRDefault="00564556" w:rsidP="00D50A73">
      <w:pPr>
        <w:pStyle w:val="Footer"/>
        <w:tabs>
          <w:tab w:val="clear" w:pos="4320"/>
          <w:tab w:val="clear" w:pos="8640"/>
        </w:tabs>
      </w:pPr>
      <w:r w:rsidRPr="004B7C6D">
        <w:rPr>
          <w:b/>
        </w:rPr>
        <w:t>1. Purpose.</w:t>
      </w:r>
      <w:r w:rsidR="00BA013A" w:rsidRPr="004B7C6D">
        <w:t xml:space="preserve"> </w:t>
      </w:r>
      <w:r w:rsidRPr="004B7C6D">
        <w:t>The Board of Directors (the “Board”) shall establish a C</w:t>
      </w:r>
      <w:r w:rsidR="00DE5717" w:rsidRPr="004B7C6D">
        <w:t xml:space="preserve">ompliance Committee </w:t>
      </w:r>
      <w:r w:rsidR="00D82AD8" w:rsidRPr="004B7C6D">
        <w:t xml:space="preserve">(“Board Compliance Committee”) </w:t>
      </w:r>
      <w:r w:rsidRPr="004B7C6D">
        <w:t xml:space="preserve">to oversee and evaluate </w:t>
      </w:r>
      <w:r w:rsidR="00F37F9C" w:rsidRPr="004B7C6D">
        <w:t>[</w:t>
      </w:r>
      <w:r w:rsidR="00F37F9C" w:rsidRPr="004B7C6D">
        <w:rPr>
          <w:i/>
        </w:rPr>
        <w:t xml:space="preserve">Name of </w:t>
      </w:r>
      <w:r w:rsidR="000A36A2" w:rsidRPr="004B7C6D">
        <w:rPr>
          <w:i/>
        </w:rPr>
        <w:t>Health Center</w:t>
      </w:r>
      <w:r w:rsidR="00F37F9C" w:rsidRPr="004B7C6D">
        <w:rPr>
          <w:i/>
        </w:rPr>
        <w:t>’</w:t>
      </w:r>
      <w:r w:rsidR="00F37F9C" w:rsidRPr="004B7C6D">
        <w:t>s] (“</w:t>
      </w:r>
      <w:r w:rsidR="000A36A2" w:rsidRPr="004B7C6D">
        <w:rPr>
          <w:i/>
        </w:rPr>
        <w:t>Health Center</w:t>
      </w:r>
      <w:r w:rsidR="00F37F9C" w:rsidRPr="004B7C6D">
        <w:t>’s”)</w:t>
      </w:r>
      <w:r w:rsidRPr="004B7C6D">
        <w:t xml:space="preserve"> Compliance Program and </w:t>
      </w:r>
      <w:r w:rsidR="00BF2347" w:rsidRPr="004B7C6D">
        <w:t xml:space="preserve">to </w:t>
      </w:r>
      <w:r w:rsidRPr="004B7C6D">
        <w:t xml:space="preserve">make recommendations to assist the Board in approval and oversight of the development, maintenance, and implementation of </w:t>
      </w:r>
      <w:r w:rsidR="000A36A2" w:rsidRPr="004B7C6D">
        <w:rPr>
          <w:i/>
        </w:rPr>
        <w:t>Health Center</w:t>
      </w:r>
      <w:r w:rsidRPr="004B7C6D">
        <w:t>’s Compliance Program policies and activities.</w:t>
      </w:r>
    </w:p>
    <w:p w:rsidR="00564556" w:rsidRPr="004B7C6D" w:rsidRDefault="00564556" w:rsidP="00D50A73">
      <w:pPr>
        <w:pStyle w:val="Footer"/>
        <w:tabs>
          <w:tab w:val="clear" w:pos="4320"/>
          <w:tab w:val="clear" w:pos="8640"/>
        </w:tabs>
      </w:pPr>
    </w:p>
    <w:p w:rsidR="003D14AA" w:rsidRPr="004B7C6D" w:rsidRDefault="00D50A73" w:rsidP="00D50A73">
      <w:pPr>
        <w:pStyle w:val="Footer"/>
        <w:tabs>
          <w:tab w:val="clear" w:pos="4320"/>
          <w:tab w:val="clear" w:pos="8640"/>
        </w:tabs>
      </w:pPr>
      <w:r>
        <w:rPr>
          <w:b/>
        </w:rPr>
        <w:t>2.</w:t>
      </w:r>
      <w:r w:rsidR="00246417" w:rsidRPr="004B7C6D">
        <w:rPr>
          <w:b/>
        </w:rPr>
        <w:t xml:space="preserve"> Duties and r</w:t>
      </w:r>
      <w:r w:rsidR="00564556" w:rsidRPr="004B7C6D">
        <w:rPr>
          <w:b/>
        </w:rPr>
        <w:t>esponsibilities.</w:t>
      </w:r>
      <w:r w:rsidR="00246417" w:rsidRPr="004B7C6D">
        <w:t xml:space="preserve"> </w:t>
      </w:r>
      <w:r w:rsidR="003D14AA" w:rsidRPr="004B7C6D">
        <w:t xml:space="preserve">The Board Compliance Committee will </w:t>
      </w:r>
      <w:r w:rsidR="00564556" w:rsidRPr="004B7C6D">
        <w:t>w</w:t>
      </w:r>
      <w:r w:rsidR="00893100" w:rsidRPr="004B7C6D">
        <w:t>ork</w:t>
      </w:r>
      <w:r w:rsidR="00564556" w:rsidRPr="004B7C6D">
        <w:t xml:space="preserve"> with</w:t>
      </w:r>
      <w:r w:rsidR="003D14AA" w:rsidRPr="004B7C6D">
        <w:t xml:space="preserve"> </w:t>
      </w:r>
      <w:r w:rsidR="000A36A2" w:rsidRPr="004B7C6D">
        <w:rPr>
          <w:i/>
        </w:rPr>
        <w:t>Health Center</w:t>
      </w:r>
      <w:r w:rsidR="00564556" w:rsidRPr="004B7C6D">
        <w:t xml:space="preserve">’s </w:t>
      </w:r>
      <w:r w:rsidR="003D14AA" w:rsidRPr="004B7C6D">
        <w:t xml:space="preserve">Compliance Officer </w:t>
      </w:r>
      <w:r w:rsidR="00057429" w:rsidRPr="004B7C6D">
        <w:t xml:space="preserve">and </w:t>
      </w:r>
      <w:smartTag w:uri="urn:schemas-microsoft-com:office:smarttags" w:element="stockticker">
        <w:r w:rsidR="00057429" w:rsidRPr="004B7C6D">
          <w:t>CEO</w:t>
        </w:r>
      </w:smartTag>
      <w:r w:rsidR="00057429" w:rsidRPr="004B7C6D">
        <w:t xml:space="preserve">, as appropriate, </w:t>
      </w:r>
      <w:r w:rsidR="003D14AA" w:rsidRPr="004B7C6D">
        <w:t>in coordinating and overseeing the development</w:t>
      </w:r>
      <w:r w:rsidR="00564556" w:rsidRPr="004B7C6D">
        <w:t>, maintenance,</w:t>
      </w:r>
      <w:r w:rsidR="003D14AA" w:rsidRPr="004B7C6D">
        <w:t xml:space="preserve"> and implementation of </w:t>
      </w:r>
      <w:r w:rsidR="000A36A2" w:rsidRPr="004B7C6D">
        <w:rPr>
          <w:i/>
        </w:rPr>
        <w:t>Health Center</w:t>
      </w:r>
      <w:r w:rsidR="00564556" w:rsidRPr="004B7C6D">
        <w:t xml:space="preserve">’s </w:t>
      </w:r>
      <w:r w:rsidR="003D14AA" w:rsidRPr="004B7C6D">
        <w:t>Compliance Program in a manner consistent with the recommendations of the Department of Health and Human Services</w:t>
      </w:r>
      <w:r w:rsidR="00B66AFB" w:rsidRPr="004B7C6D">
        <w:t>,</w:t>
      </w:r>
      <w:r w:rsidR="003D14AA" w:rsidRPr="004B7C6D">
        <w:t xml:space="preserve"> Office of Inspector General</w:t>
      </w:r>
      <w:r w:rsidR="00F05368" w:rsidRPr="004B7C6D">
        <w:t xml:space="preserve"> (“OIG”)</w:t>
      </w:r>
      <w:r w:rsidR="003D14AA" w:rsidRPr="004B7C6D">
        <w:t xml:space="preserve">, as published in </w:t>
      </w:r>
      <w:r w:rsidR="00564556" w:rsidRPr="004B7C6D">
        <w:t>its Compliance Program Guidance for Individual and Small Group Physician Practices</w:t>
      </w:r>
      <w:r w:rsidR="00B6131C" w:rsidRPr="004B7C6D">
        <w:rPr>
          <w:rStyle w:val="FootnoteReference"/>
        </w:rPr>
        <w:footnoteReference w:id="2"/>
      </w:r>
      <w:r w:rsidR="000A36A2" w:rsidRPr="004B7C6D">
        <w:t>, including:</w:t>
      </w:r>
    </w:p>
    <w:p w:rsidR="003D14AA" w:rsidRPr="004B7C6D" w:rsidRDefault="003D14AA" w:rsidP="00D50A73">
      <w:pPr>
        <w:pStyle w:val="BodyTextIndent"/>
        <w:ind w:left="720" w:firstLine="0"/>
        <w:rPr>
          <w:rFonts w:ascii="Times New Roman" w:hAnsi="Times New Roman"/>
          <w:sz w:val="24"/>
          <w:szCs w:val="24"/>
        </w:rPr>
      </w:pPr>
    </w:p>
    <w:p w:rsidR="003D14AA" w:rsidRPr="004B7C6D" w:rsidRDefault="00246417" w:rsidP="00D50A73">
      <w:pPr>
        <w:numPr>
          <w:ilvl w:val="0"/>
          <w:numId w:val="8"/>
        </w:numPr>
        <w:tabs>
          <w:tab w:val="clear" w:pos="1080"/>
        </w:tabs>
        <w:ind w:left="720"/>
      </w:pPr>
      <w:r w:rsidRPr="004B7C6D">
        <w:rPr>
          <w:u w:val="single"/>
        </w:rPr>
        <w:t>Identifying areas of r</w:t>
      </w:r>
      <w:r w:rsidR="003D14AA" w:rsidRPr="004B7C6D">
        <w:rPr>
          <w:u w:val="single"/>
        </w:rPr>
        <w:t>isk</w:t>
      </w:r>
      <w:r w:rsidRPr="004B7C6D">
        <w:t xml:space="preserve">. </w:t>
      </w:r>
      <w:r w:rsidR="003D14AA" w:rsidRPr="004B7C6D">
        <w:t>The Board Compliance Committee will be informed</w:t>
      </w:r>
      <w:r w:rsidR="00BF2347" w:rsidRPr="004B7C6D">
        <w:t>, through education and training,</w:t>
      </w:r>
      <w:r w:rsidR="00893100" w:rsidRPr="004B7C6D">
        <w:t xml:space="preserve"> about the federal and s</w:t>
      </w:r>
      <w:r w:rsidR="003D14AA" w:rsidRPr="004B7C6D">
        <w:t>tate statutory, regulatory</w:t>
      </w:r>
      <w:r w:rsidR="00057429" w:rsidRPr="004B7C6D">
        <w:t>,</w:t>
      </w:r>
      <w:r w:rsidR="003D14AA" w:rsidRPr="004B7C6D">
        <w:t xml:space="preserve"> and policy requirements applicable to </w:t>
      </w:r>
      <w:r w:rsidR="000A36A2" w:rsidRPr="004B7C6D">
        <w:rPr>
          <w:i/>
        </w:rPr>
        <w:t>Health Center</w:t>
      </w:r>
      <w:r w:rsidR="003D14AA" w:rsidRPr="004B7C6D">
        <w:t xml:space="preserve">’s activities as a basis </w:t>
      </w:r>
      <w:r w:rsidR="00C57C94" w:rsidRPr="004B7C6D">
        <w:t>for reviewing the risk</w:t>
      </w:r>
      <w:r w:rsidR="003D14AA" w:rsidRPr="004B7C6D">
        <w:t xml:space="preserve">s identified by the Compliance </w:t>
      </w:r>
      <w:r w:rsidR="00057429" w:rsidRPr="004B7C6D">
        <w:t>Officer and making recommendations</w:t>
      </w:r>
      <w:r w:rsidR="00E50CD6" w:rsidRPr="004B7C6D">
        <w:t xml:space="preserve"> for actions to be taken by the full Board of Directors</w:t>
      </w:r>
      <w:r w:rsidR="00057429" w:rsidRPr="004B7C6D">
        <w:t>, as may be appropriate</w:t>
      </w:r>
      <w:r w:rsidR="00BA013A" w:rsidRPr="004B7C6D">
        <w:t>.</w:t>
      </w:r>
    </w:p>
    <w:p w:rsidR="00D82AD8" w:rsidRPr="004B7C6D" w:rsidRDefault="00D82AD8" w:rsidP="00D50A73">
      <w:pPr>
        <w:ind w:left="720"/>
      </w:pPr>
    </w:p>
    <w:p w:rsidR="00D82AD8" w:rsidRPr="004B7C6D" w:rsidRDefault="00C57C94" w:rsidP="00D50A73">
      <w:pPr>
        <w:numPr>
          <w:ilvl w:val="0"/>
          <w:numId w:val="8"/>
        </w:numPr>
        <w:tabs>
          <w:tab w:val="clear" w:pos="1080"/>
        </w:tabs>
        <w:ind w:left="720"/>
      </w:pPr>
      <w:r w:rsidRPr="004B7C6D">
        <w:rPr>
          <w:u w:val="single"/>
        </w:rPr>
        <w:t>Oversight of Compliance P</w:t>
      </w:r>
      <w:r w:rsidR="00246417" w:rsidRPr="004B7C6D">
        <w:rPr>
          <w:u w:val="single"/>
        </w:rPr>
        <w:t>rogram a</w:t>
      </w:r>
      <w:r w:rsidR="003D14AA" w:rsidRPr="004B7C6D">
        <w:rPr>
          <w:u w:val="single"/>
        </w:rPr>
        <w:t>ctivities</w:t>
      </w:r>
      <w:r w:rsidR="00246417" w:rsidRPr="004B7C6D">
        <w:t>.</w:t>
      </w:r>
      <w:r w:rsidR="003D14AA" w:rsidRPr="004B7C6D">
        <w:t xml:space="preserve"> The Board Compliance Committee will receive information</w:t>
      </w:r>
      <w:r w:rsidR="00BF2347" w:rsidRPr="004B7C6D">
        <w:t>, as appropriate,</w:t>
      </w:r>
      <w:r w:rsidR="003D14AA" w:rsidRPr="004B7C6D">
        <w:t xml:space="preserve"> </w:t>
      </w:r>
      <w:r w:rsidR="00BF2347" w:rsidRPr="004B7C6D">
        <w:t xml:space="preserve">from the Compliance Officer </w:t>
      </w:r>
      <w:r w:rsidR="003D14AA" w:rsidRPr="004B7C6D">
        <w:t>on activities of the Compliance Program, including but not limited to,</w:t>
      </w:r>
      <w:r w:rsidR="00BF2347" w:rsidRPr="004B7C6D">
        <w:t xml:space="preserve"> education and training, employee reporting mechanisms, and disciplinary guidelines</w:t>
      </w:r>
      <w:r w:rsidR="00D82AD8" w:rsidRPr="004B7C6D">
        <w:t>.</w:t>
      </w:r>
    </w:p>
    <w:p w:rsidR="00D82AD8" w:rsidRPr="004B7C6D" w:rsidRDefault="00D82AD8" w:rsidP="00D50A73">
      <w:pPr>
        <w:ind w:left="720"/>
        <w:rPr>
          <w:u w:val="single"/>
        </w:rPr>
      </w:pPr>
    </w:p>
    <w:p w:rsidR="00D82AD8" w:rsidRPr="004B7C6D" w:rsidRDefault="003D14AA" w:rsidP="00D50A73">
      <w:pPr>
        <w:numPr>
          <w:ilvl w:val="0"/>
          <w:numId w:val="8"/>
        </w:numPr>
        <w:tabs>
          <w:tab w:val="clear" w:pos="1080"/>
        </w:tabs>
        <w:ind w:left="720"/>
      </w:pPr>
      <w:r w:rsidRPr="004B7C6D">
        <w:rPr>
          <w:u w:val="single"/>
        </w:rPr>
        <w:t>Monitoring</w:t>
      </w:r>
      <w:r w:rsidR="00B17A4E" w:rsidRPr="004B7C6D">
        <w:rPr>
          <w:u w:val="single"/>
        </w:rPr>
        <w:t>,</w:t>
      </w:r>
      <w:r w:rsidR="00246417" w:rsidRPr="004B7C6D">
        <w:rPr>
          <w:u w:val="single"/>
        </w:rPr>
        <w:t xml:space="preserve"> a</w:t>
      </w:r>
      <w:r w:rsidRPr="004B7C6D">
        <w:rPr>
          <w:u w:val="single"/>
        </w:rPr>
        <w:t>udits</w:t>
      </w:r>
      <w:r w:rsidR="00B17A4E" w:rsidRPr="004B7C6D">
        <w:rPr>
          <w:u w:val="single"/>
        </w:rPr>
        <w:t>,</w:t>
      </w:r>
      <w:r w:rsidR="00246417" w:rsidRPr="004B7C6D">
        <w:rPr>
          <w:u w:val="single"/>
        </w:rPr>
        <w:t xml:space="preserve"> and i</w:t>
      </w:r>
      <w:r w:rsidRPr="004B7C6D">
        <w:rPr>
          <w:u w:val="single"/>
        </w:rPr>
        <w:t>nvestigations</w:t>
      </w:r>
      <w:r w:rsidR="00246417" w:rsidRPr="004B7C6D">
        <w:t>.</w:t>
      </w:r>
      <w:r w:rsidRPr="004B7C6D">
        <w:t xml:space="preserve"> The Board Compliance Committee will </w:t>
      </w:r>
      <w:r w:rsidR="005F5DF1" w:rsidRPr="004B7C6D">
        <w:t xml:space="preserve">review significant findings of, and trends identified through, </w:t>
      </w:r>
      <w:r w:rsidRPr="004B7C6D">
        <w:t>internal and external audits and investigations</w:t>
      </w:r>
      <w:r w:rsidR="005F5DF1" w:rsidRPr="004B7C6D">
        <w:t>, as presented by the Compliance Officer,</w:t>
      </w:r>
      <w:r w:rsidRPr="004B7C6D">
        <w:t xml:space="preserve"> for the purpose of identifying </w:t>
      </w:r>
      <w:r w:rsidR="00D82AD8" w:rsidRPr="004B7C6D">
        <w:t xml:space="preserve">and responding to </w:t>
      </w:r>
      <w:r w:rsidRPr="004B7C6D">
        <w:t xml:space="preserve">potential risk areas </w:t>
      </w:r>
      <w:r w:rsidR="00D82AD8" w:rsidRPr="004B7C6D">
        <w:t>and reports of non</w:t>
      </w:r>
      <w:r w:rsidR="00B66AFB" w:rsidRPr="004B7C6D">
        <w:t>-</w:t>
      </w:r>
      <w:r w:rsidR="00D82AD8" w:rsidRPr="004B7C6D">
        <w:t xml:space="preserve">compliance </w:t>
      </w:r>
      <w:r w:rsidRPr="004B7C6D">
        <w:t xml:space="preserve">and will </w:t>
      </w:r>
      <w:r w:rsidR="00D82AD8" w:rsidRPr="004B7C6D">
        <w:t>receive information regarding any</w:t>
      </w:r>
      <w:r w:rsidRPr="004B7C6D">
        <w:t xml:space="preserve"> corrective and preventive action</w:t>
      </w:r>
      <w:r w:rsidR="00D82AD8" w:rsidRPr="004B7C6D">
        <w:t>s taken</w:t>
      </w:r>
      <w:r w:rsidRPr="004B7C6D">
        <w:t>.</w:t>
      </w:r>
    </w:p>
    <w:p w:rsidR="00D82AD8" w:rsidRPr="004B7C6D" w:rsidRDefault="00D82AD8" w:rsidP="00D50A73">
      <w:pPr>
        <w:ind w:left="720"/>
        <w:rPr>
          <w:u w:val="single"/>
        </w:rPr>
      </w:pPr>
    </w:p>
    <w:p w:rsidR="00FE7877" w:rsidRPr="004B7C6D" w:rsidRDefault="00246417" w:rsidP="00D50A73">
      <w:pPr>
        <w:numPr>
          <w:ilvl w:val="0"/>
          <w:numId w:val="8"/>
        </w:numPr>
        <w:tabs>
          <w:tab w:val="clear" w:pos="1080"/>
        </w:tabs>
        <w:ind w:left="720"/>
      </w:pPr>
      <w:r w:rsidRPr="004B7C6D">
        <w:rPr>
          <w:u w:val="single"/>
        </w:rPr>
        <w:t>Policies and p</w:t>
      </w:r>
      <w:r w:rsidR="00FE7877" w:rsidRPr="004B7C6D">
        <w:rPr>
          <w:u w:val="single"/>
        </w:rPr>
        <w:t>rocedures</w:t>
      </w:r>
      <w:r w:rsidRPr="004B7C6D">
        <w:t>.</w:t>
      </w:r>
      <w:r w:rsidR="00FE7877" w:rsidRPr="004B7C6D">
        <w:t xml:space="preserve"> The Board Compliance Committee will work with the Compliance Officer to review and obtain Board approval of </w:t>
      </w:r>
      <w:r w:rsidR="000A36A2" w:rsidRPr="004B7C6D">
        <w:rPr>
          <w:i/>
        </w:rPr>
        <w:t>Health Center</w:t>
      </w:r>
      <w:r w:rsidR="00420A8F" w:rsidRPr="004B7C6D">
        <w:t xml:space="preserve">’s </w:t>
      </w:r>
      <w:r w:rsidR="00FE7877" w:rsidRPr="004B7C6D">
        <w:t>Standards of Conduct</w:t>
      </w:r>
      <w:r w:rsidR="00C57C94" w:rsidRPr="004B7C6D">
        <w:t>, Compliance Plan,</w:t>
      </w:r>
      <w:r w:rsidR="00FE7877" w:rsidRPr="004B7C6D">
        <w:t xml:space="preserve"> and policies and procedures that address areas of risk and that promote compliance with </w:t>
      </w:r>
      <w:r w:rsidR="000A36A2" w:rsidRPr="004B7C6D">
        <w:rPr>
          <w:i/>
        </w:rPr>
        <w:t>Health Center</w:t>
      </w:r>
      <w:r w:rsidR="00FE7877" w:rsidRPr="004B7C6D">
        <w:t xml:space="preserve">’s Compliance Program, laws, and regulations </w:t>
      </w:r>
      <w:r w:rsidR="00FE7877" w:rsidRPr="004B7C6D">
        <w:lastRenderedPageBreak/>
        <w:t>(including, as applicable, but not limited to, the laws authorizing and implementing</w:t>
      </w:r>
      <w:r w:rsidR="00AD241E" w:rsidRPr="004B7C6D">
        <w:t xml:space="preserve"> Medicaid, Medicare, and other federal and s</w:t>
      </w:r>
      <w:r w:rsidR="00FE7877" w:rsidRPr="004B7C6D">
        <w:t>tate health care programs, Section 6032 o</w:t>
      </w:r>
      <w:r w:rsidRPr="004B7C6D">
        <w:t xml:space="preserve">f the Deficit Reduction Act of </w:t>
      </w:r>
      <w:r w:rsidR="00FE7877" w:rsidRPr="004B7C6D">
        <w:t xml:space="preserve">2005, the requirements under Section 330 of the Public Health Service Act, and the requirements set forth in the Health Resources and Services Administration’s Policy Information Notices and Program Assistance Letters) and contractual requirements imposed by third party </w:t>
      </w:r>
      <w:proofErr w:type="spellStart"/>
      <w:r w:rsidR="00FE7877" w:rsidRPr="004B7C6D">
        <w:t>payors</w:t>
      </w:r>
      <w:proofErr w:type="spellEnd"/>
      <w:r w:rsidR="00FE7877" w:rsidRPr="004B7C6D">
        <w:t>.</w:t>
      </w:r>
    </w:p>
    <w:p w:rsidR="00D82AD8" w:rsidRPr="004B7C6D" w:rsidRDefault="00D82AD8" w:rsidP="00D50A73">
      <w:pPr>
        <w:rPr>
          <w:u w:val="single"/>
        </w:rPr>
      </w:pPr>
    </w:p>
    <w:p w:rsidR="00D82AD8" w:rsidRPr="004B7C6D" w:rsidRDefault="00246417" w:rsidP="00D50A73">
      <w:pPr>
        <w:numPr>
          <w:ilvl w:val="0"/>
          <w:numId w:val="8"/>
        </w:numPr>
        <w:tabs>
          <w:tab w:val="clear" w:pos="1080"/>
        </w:tabs>
        <w:ind w:left="720"/>
      </w:pPr>
      <w:r w:rsidRPr="004B7C6D">
        <w:rPr>
          <w:u w:val="single"/>
        </w:rPr>
        <w:t>Evaluation of e</w:t>
      </w:r>
      <w:r w:rsidR="003D14AA" w:rsidRPr="004B7C6D">
        <w:rPr>
          <w:u w:val="single"/>
        </w:rPr>
        <w:t>ffectiveness</w:t>
      </w:r>
      <w:r w:rsidRPr="004B7C6D">
        <w:t>.</w:t>
      </w:r>
      <w:r w:rsidR="003D14AA" w:rsidRPr="004B7C6D">
        <w:t xml:space="preserve"> The Board Compliance Committee will </w:t>
      </w:r>
      <w:r w:rsidR="00B17A4E" w:rsidRPr="004B7C6D">
        <w:t xml:space="preserve">review the Compliance Officer’s evaluation </w:t>
      </w:r>
      <w:r w:rsidR="00920088" w:rsidRPr="004B7C6D">
        <w:t xml:space="preserve">of the </w:t>
      </w:r>
      <w:r w:rsidR="003D14AA" w:rsidRPr="004B7C6D">
        <w:t>Compliance Program</w:t>
      </w:r>
      <w:r w:rsidRPr="004B7C6D">
        <w:t xml:space="preserve">. </w:t>
      </w:r>
      <w:r w:rsidR="00920088" w:rsidRPr="004B7C6D">
        <w:t>The review will e</w:t>
      </w:r>
      <w:r w:rsidR="003D14AA" w:rsidRPr="004B7C6D">
        <w:t>valuat</w:t>
      </w:r>
      <w:r w:rsidR="00BF2347" w:rsidRPr="004B7C6D">
        <w:t xml:space="preserve">e the </w:t>
      </w:r>
      <w:r w:rsidR="00920088" w:rsidRPr="004B7C6D">
        <w:t xml:space="preserve">effectiveness of </w:t>
      </w:r>
      <w:r w:rsidR="003D14AA" w:rsidRPr="004B7C6D">
        <w:t xml:space="preserve">the Compliance Program </w:t>
      </w:r>
      <w:r w:rsidR="00920088" w:rsidRPr="004B7C6D">
        <w:t xml:space="preserve">as well as </w:t>
      </w:r>
      <w:r w:rsidR="00BF2347" w:rsidRPr="004B7C6D">
        <w:t>the extent to which th</w:t>
      </w:r>
      <w:r w:rsidR="00920088" w:rsidRPr="004B7C6D">
        <w:t xml:space="preserve">e tasks in </w:t>
      </w:r>
      <w:r w:rsidR="003D14AA" w:rsidRPr="004B7C6D">
        <w:t>the Annual</w:t>
      </w:r>
      <w:r w:rsidR="00B66AFB" w:rsidRPr="004B7C6D">
        <w:t xml:space="preserve"> Compliance Program</w:t>
      </w:r>
      <w:r w:rsidR="003D14AA" w:rsidRPr="004B7C6D">
        <w:t xml:space="preserve"> Work Plan</w:t>
      </w:r>
      <w:r w:rsidR="00BF2347" w:rsidRPr="004B7C6D">
        <w:t xml:space="preserve"> have been completed</w:t>
      </w:r>
      <w:r w:rsidR="00D82AD8" w:rsidRPr="004B7C6D">
        <w:t>.</w:t>
      </w:r>
    </w:p>
    <w:p w:rsidR="0068644D" w:rsidRPr="004B7C6D" w:rsidRDefault="0068644D" w:rsidP="00D50A73">
      <w:pPr>
        <w:pStyle w:val="ListParagraph"/>
      </w:pPr>
    </w:p>
    <w:p w:rsidR="00D82AD8" w:rsidRPr="004B7C6D" w:rsidRDefault="00246417" w:rsidP="00D50A73">
      <w:pPr>
        <w:numPr>
          <w:ilvl w:val="0"/>
          <w:numId w:val="8"/>
        </w:numPr>
        <w:tabs>
          <w:tab w:val="clear" w:pos="1080"/>
        </w:tabs>
        <w:ind w:left="720"/>
      </w:pPr>
      <w:r w:rsidRPr="004B7C6D">
        <w:rPr>
          <w:u w:val="single"/>
        </w:rPr>
        <w:t>Developing s</w:t>
      </w:r>
      <w:r w:rsidR="003D14AA" w:rsidRPr="004B7C6D">
        <w:rPr>
          <w:u w:val="single"/>
        </w:rPr>
        <w:t>trategy</w:t>
      </w:r>
      <w:r w:rsidRPr="004B7C6D">
        <w:t xml:space="preserve">. </w:t>
      </w:r>
      <w:r w:rsidR="003D14AA" w:rsidRPr="004B7C6D">
        <w:t xml:space="preserve">The Board Compliance Committee will analyze and, as needed, </w:t>
      </w:r>
      <w:r w:rsidR="00B17A4E" w:rsidRPr="004B7C6D">
        <w:t xml:space="preserve">recommend </w:t>
      </w:r>
      <w:r w:rsidR="00E50CD6" w:rsidRPr="004B7C6D">
        <w:t xml:space="preserve">to the full Board of Directors </w:t>
      </w:r>
      <w:r w:rsidR="00B17A4E" w:rsidRPr="004B7C6D">
        <w:t xml:space="preserve">the </w:t>
      </w:r>
      <w:r w:rsidR="003D14AA" w:rsidRPr="004B7C6D">
        <w:t>develop</w:t>
      </w:r>
      <w:r w:rsidR="00B17A4E" w:rsidRPr="004B7C6D">
        <w:t>ment of</w:t>
      </w:r>
      <w:r w:rsidR="003D14AA" w:rsidRPr="004B7C6D">
        <w:t xml:space="preserve"> new methods for promoting compliance and identifying potential violations and for soliciting, evaluating</w:t>
      </w:r>
      <w:r w:rsidR="00EE11F1" w:rsidRPr="004B7C6D">
        <w:t>,</w:t>
      </w:r>
      <w:r w:rsidR="003D14AA" w:rsidRPr="004B7C6D">
        <w:t xml:space="preserve"> and responding to complaints and repo</w:t>
      </w:r>
      <w:r w:rsidR="008E5D91" w:rsidRPr="004B7C6D">
        <w:t>rts of alleged non-compliance.</w:t>
      </w:r>
    </w:p>
    <w:p w:rsidR="00D82AD8" w:rsidRPr="004B7C6D" w:rsidRDefault="00D82AD8" w:rsidP="00D50A73">
      <w:pPr>
        <w:ind w:left="720" w:hanging="360"/>
        <w:rPr>
          <w:u w:val="single"/>
        </w:rPr>
      </w:pPr>
    </w:p>
    <w:p w:rsidR="003D14AA" w:rsidRPr="004B7C6D" w:rsidRDefault="003D14AA" w:rsidP="00D50A73">
      <w:pPr>
        <w:numPr>
          <w:ilvl w:val="0"/>
          <w:numId w:val="8"/>
        </w:numPr>
        <w:tabs>
          <w:tab w:val="clear" w:pos="1080"/>
        </w:tabs>
        <w:ind w:left="720"/>
      </w:pPr>
      <w:r w:rsidRPr="004B7C6D">
        <w:rPr>
          <w:u w:val="single"/>
        </w:rPr>
        <w:t>Resources</w:t>
      </w:r>
      <w:r w:rsidR="00246417" w:rsidRPr="004B7C6D">
        <w:t xml:space="preserve">. </w:t>
      </w:r>
      <w:r w:rsidRPr="004B7C6D">
        <w:t xml:space="preserve">The Board Compliance Committee will periodically review the resources assigned to </w:t>
      </w:r>
      <w:r w:rsidR="000A36A2" w:rsidRPr="004B7C6D">
        <w:rPr>
          <w:i/>
        </w:rPr>
        <w:t>Health Center</w:t>
      </w:r>
      <w:r w:rsidRPr="004B7C6D">
        <w:t xml:space="preserve">’s </w:t>
      </w:r>
      <w:r w:rsidR="00651B88" w:rsidRPr="004B7C6D">
        <w:t>C</w:t>
      </w:r>
      <w:r w:rsidRPr="004B7C6D">
        <w:t xml:space="preserve">ompliance </w:t>
      </w:r>
      <w:r w:rsidR="00651B88" w:rsidRPr="004B7C6D">
        <w:t>Program to ensure that such resources are</w:t>
      </w:r>
      <w:r w:rsidRPr="004B7C6D">
        <w:t xml:space="preserve"> adequa</w:t>
      </w:r>
      <w:r w:rsidR="00651B88" w:rsidRPr="004B7C6D">
        <w:t>te</w:t>
      </w:r>
      <w:r w:rsidRPr="004B7C6D">
        <w:t xml:space="preserve"> for maintaining </w:t>
      </w:r>
      <w:r w:rsidR="00651B88" w:rsidRPr="004B7C6D">
        <w:t>an effective</w:t>
      </w:r>
      <w:r w:rsidRPr="004B7C6D">
        <w:t xml:space="preserve"> Compliance P</w:t>
      </w:r>
      <w:r w:rsidR="0069739F" w:rsidRPr="004B7C6D">
        <w:t>rogra</w:t>
      </w:r>
      <w:r w:rsidR="00651B88" w:rsidRPr="004B7C6D">
        <w:t>m</w:t>
      </w:r>
      <w:r w:rsidR="00B17A4E" w:rsidRPr="004B7C6D">
        <w:t xml:space="preserve"> and </w:t>
      </w:r>
      <w:r w:rsidR="00E50CD6" w:rsidRPr="004B7C6D">
        <w:t xml:space="preserve">will </w:t>
      </w:r>
      <w:r w:rsidR="00B17A4E" w:rsidRPr="004B7C6D">
        <w:t xml:space="preserve">make recommendations </w:t>
      </w:r>
      <w:r w:rsidR="00E50CD6" w:rsidRPr="004B7C6D">
        <w:t xml:space="preserve">for changes in the budgeting of resources </w:t>
      </w:r>
      <w:r w:rsidR="00B17A4E" w:rsidRPr="004B7C6D">
        <w:t xml:space="preserve">to the </w:t>
      </w:r>
      <w:r w:rsidR="00E50CD6" w:rsidRPr="004B7C6D">
        <w:t xml:space="preserve">full </w:t>
      </w:r>
      <w:r w:rsidR="00B17A4E" w:rsidRPr="004B7C6D">
        <w:t>Board</w:t>
      </w:r>
      <w:r w:rsidR="00E50CD6" w:rsidRPr="004B7C6D">
        <w:t xml:space="preserve"> of Directors</w:t>
      </w:r>
      <w:r w:rsidR="0069739F" w:rsidRPr="004B7C6D">
        <w:t>.</w:t>
      </w:r>
    </w:p>
    <w:p w:rsidR="00A97A37" w:rsidRPr="004B7C6D" w:rsidRDefault="00A97A37" w:rsidP="00D50A73">
      <w:pPr>
        <w:pStyle w:val="BodyTextIndent"/>
        <w:ind w:left="0" w:firstLine="0"/>
        <w:rPr>
          <w:rFonts w:ascii="Times New Roman" w:hAnsi="Times New Roman"/>
          <w:sz w:val="24"/>
          <w:szCs w:val="24"/>
        </w:rPr>
      </w:pPr>
    </w:p>
    <w:p w:rsidR="00107E6B" w:rsidRPr="004B7C6D" w:rsidRDefault="00D50A73" w:rsidP="00D50A73">
      <w:pPr>
        <w:pStyle w:val="BodyTextIndent"/>
        <w:ind w:left="0" w:firstLine="0"/>
        <w:rPr>
          <w:rFonts w:ascii="Times New Roman" w:hAnsi="Times New Roman"/>
          <w:b/>
          <w:sz w:val="24"/>
          <w:szCs w:val="24"/>
        </w:rPr>
      </w:pPr>
      <w:r>
        <w:rPr>
          <w:rFonts w:ascii="Times New Roman" w:hAnsi="Times New Roman"/>
          <w:b/>
          <w:sz w:val="24"/>
          <w:szCs w:val="24"/>
        </w:rPr>
        <w:t xml:space="preserve">3. </w:t>
      </w:r>
      <w:r w:rsidR="00246417" w:rsidRPr="004B7C6D">
        <w:rPr>
          <w:rFonts w:ascii="Times New Roman" w:hAnsi="Times New Roman"/>
          <w:b/>
          <w:sz w:val="24"/>
          <w:szCs w:val="24"/>
        </w:rPr>
        <w:t>Committee s</w:t>
      </w:r>
      <w:r w:rsidR="00107E6B" w:rsidRPr="004B7C6D">
        <w:rPr>
          <w:rFonts w:ascii="Times New Roman" w:hAnsi="Times New Roman"/>
          <w:b/>
          <w:sz w:val="24"/>
          <w:szCs w:val="24"/>
        </w:rPr>
        <w:t>tructure.</w:t>
      </w:r>
    </w:p>
    <w:p w:rsidR="00107E6B" w:rsidRPr="004B7C6D" w:rsidRDefault="00107E6B" w:rsidP="00D50A73">
      <w:pPr>
        <w:pStyle w:val="BodyTextIndent"/>
        <w:ind w:left="0" w:firstLine="0"/>
        <w:rPr>
          <w:rFonts w:ascii="Times New Roman" w:hAnsi="Times New Roman"/>
          <w:b/>
          <w:sz w:val="24"/>
          <w:szCs w:val="24"/>
        </w:rPr>
      </w:pPr>
    </w:p>
    <w:p w:rsidR="00A97A37" w:rsidRPr="004B7C6D" w:rsidRDefault="00A97A37" w:rsidP="00D50A73">
      <w:pPr>
        <w:pStyle w:val="BodyTextIndent"/>
        <w:numPr>
          <w:ilvl w:val="0"/>
          <w:numId w:val="9"/>
        </w:numPr>
        <w:rPr>
          <w:rFonts w:ascii="Times New Roman" w:hAnsi="Times New Roman"/>
          <w:sz w:val="24"/>
          <w:szCs w:val="24"/>
        </w:rPr>
      </w:pPr>
      <w:r w:rsidRPr="004B7C6D">
        <w:rPr>
          <w:rFonts w:ascii="Times New Roman" w:hAnsi="Times New Roman"/>
          <w:sz w:val="24"/>
          <w:szCs w:val="24"/>
        </w:rPr>
        <w:t>The Board Compliance Committee shall consist of the following members:</w:t>
      </w:r>
    </w:p>
    <w:p w:rsidR="00A97A37" w:rsidRPr="004B7C6D" w:rsidRDefault="00A97A37" w:rsidP="00D50A73">
      <w:pPr>
        <w:pStyle w:val="BodyTextIndent"/>
        <w:numPr>
          <w:ilvl w:val="1"/>
          <w:numId w:val="9"/>
        </w:numPr>
        <w:rPr>
          <w:rFonts w:ascii="Times New Roman" w:hAnsi="Times New Roman"/>
          <w:i/>
          <w:sz w:val="24"/>
          <w:szCs w:val="24"/>
        </w:rPr>
      </w:pPr>
      <w:r w:rsidRPr="004B7C6D">
        <w:rPr>
          <w:rFonts w:ascii="Times New Roman" w:hAnsi="Times New Roman"/>
          <w:i/>
          <w:sz w:val="24"/>
          <w:szCs w:val="24"/>
        </w:rPr>
        <w:t xml:space="preserve">[List of positions or titles of individuals comprising </w:t>
      </w:r>
      <w:r w:rsidR="00486719" w:rsidRPr="004B7C6D">
        <w:rPr>
          <w:rFonts w:ascii="Times New Roman" w:hAnsi="Times New Roman"/>
          <w:i/>
          <w:sz w:val="24"/>
          <w:szCs w:val="24"/>
        </w:rPr>
        <w:t xml:space="preserve">the </w:t>
      </w:r>
      <w:r w:rsidRPr="004B7C6D">
        <w:rPr>
          <w:rFonts w:ascii="Times New Roman" w:hAnsi="Times New Roman"/>
          <w:i/>
          <w:sz w:val="24"/>
          <w:szCs w:val="24"/>
        </w:rPr>
        <w:t>Board Compliance Committee]</w:t>
      </w:r>
      <w:r w:rsidRPr="004B7C6D">
        <w:rPr>
          <w:rFonts w:ascii="Times New Roman" w:hAnsi="Times New Roman"/>
          <w:sz w:val="24"/>
          <w:szCs w:val="24"/>
        </w:rPr>
        <w:t>.</w:t>
      </w:r>
    </w:p>
    <w:p w:rsidR="00A97A37" w:rsidRPr="004B7C6D" w:rsidRDefault="00A97A37" w:rsidP="00D50A73">
      <w:pPr>
        <w:pStyle w:val="BodyTextIndent"/>
        <w:ind w:left="0" w:firstLine="0"/>
        <w:rPr>
          <w:rFonts w:ascii="Times New Roman" w:hAnsi="Times New Roman"/>
          <w:sz w:val="24"/>
          <w:szCs w:val="24"/>
        </w:rPr>
      </w:pPr>
    </w:p>
    <w:p w:rsidR="00002108" w:rsidRPr="004B7C6D" w:rsidRDefault="00CF4220" w:rsidP="00D50A73">
      <w:pPr>
        <w:pStyle w:val="BodyTextIndent"/>
        <w:numPr>
          <w:ilvl w:val="0"/>
          <w:numId w:val="9"/>
        </w:numPr>
        <w:rPr>
          <w:rFonts w:ascii="Times New Roman" w:hAnsi="Times New Roman"/>
          <w:sz w:val="24"/>
          <w:szCs w:val="24"/>
        </w:rPr>
      </w:pPr>
      <w:r w:rsidRPr="004B7C6D">
        <w:rPr>
          <w:rFonts w:ascii="Times New Roman" w:hAnsi="Times New Roman"/>
          <w:sz w:val="24"/>
          <w:szCs w:val="24"/>
        </w:rPr>
        <w:t>The Board Compliance Committee shall be subject to same requirements regarding quorum, attendance</w:t>
      </w:r>
      <w:r w:rsidR="00107E6B" w:rsidRPr="004B7C6D">
        <w:rPr>
          <w:rFonts w:ascii="Times New Roman" w:hAnsi="Times New Roman"/>
          <w:sz w:val="24"/>
          <w:szCs w:val="24"/>
        </w:rPr>
        <w:t>,</w:t>
      </w:r>
      <w:r w:rsidR="00D66E7B" w:rsidRPr="004B7C6D">
        <w:rPr>
          <w:rFonts w:ascii="Times New Roman" w:hAnsi="Times New Roman"/>
          <w:sz w:val="24"/>
          <w:szCs w:val="24"/>
        </w:rPr>
        <w:t xml:space="preserve"> and voting as</w:t>
      </w:r>
      <w:r w:rsidRPr="004B7C6D">
        <w:rPr>
          <w:rFonts w:ascii="Times New Roman" w:hAnsi="Times New Roman"/>
          <w:sz w:val="24"/>
          <w:szCs w:val="24"/>
        </w:rPr>
        <w:t xml:space="preserve"> other committees of the Board.</w:t>
      </w:r>
    </w:p>
    <w:p w:rsidR="00107E6B" w:rsidRPr="004B7C6D" w:rsidRDefault="00107E6B" w:rsidP="00D50A73">
      <w:pPr>
        <w:pStyle w:val="BodyTextIndent"/>
        <w:ind w:left="720" w:firstLine="60"/>
        <w:rPr>
          <w:rFonts w:ascii="Times New Roman" w:hAnsi="Times New Roman"/>
          <w:sz w:val="24"/>
          <w:szCs w:val="24"/>
        </w:rPr>
      </w:pPr>
    </w:p>
    <w:p w:rsidR="00E81B5E" w:rsidRPr="004B7C6D" w:rsidRDefault="00E81B5E" w:rsidP="00D50A73">
      <w:pPr>
        <w:pStyle w:val="BodyTextIndent"/>
        <w:numPr>
          <w:ilvl w:val="0"/>
          <w:numId w:val="9"/>
        </w:numPr>
        <w:rPr>
          <w:rFonts w:ascii="Times New Roman" w:hAnsi="Times New Roman"/>
          <w:sz w:val="24"/>
          <w:szCs w:val="24"/>
        </w:rPr>
      </w:pPr>
      <w:r w:rsidRPr="004B7C6D">
        <w:rPr>
          <w:rFonts w:ascii="Times New Roman" w:hAnsi="Times New Roman"/>
          <w:sz w:val="24"/>
          <w:szCs w:val="24"/>
        </w:rPr>
        <w:t>The Board Compliance Committee shall hold regular meetings on a [</w:t>
      </w:r>
      <w:r w:rsidRPr="004B7C6D">
        <w:rPr>
          <w:rFonts w:ascii="Times New Roman" w:hAnsi="Times New Roman"/>
          <w:i/>
          <w:sz w:val="24"/>
          <w:szCs w:val="24"/>
        </w:rPr>
        <w:t>quarterly/bi-monthly/monthly</w:t>
      </w:r>
      <w:r w:rsidR="00D50A73">
        <w:rPr>
          <w:rFonts w:ascii="Times New Roman" w:hAnsi="Times New Roman"/>
          <w:sz w:val="24"/>
          <w:szCs w:val="24"/>
        </w:rPr>
        <w:t xml:space="preserve">] basis. </w:t>
      </w:r>
      <w:r w:rsidRPr="004B7C6D">
        <w:rPr>
          <w:rFonts w:ascii="Times New Roman" w:hAnsi="Times New Roman"/>
          <w:sz w:val="24"/>
          <w:szCs w:val="24"/>
        </w:rPr>
        <w:t>The Board Compliance Committee may meet more frequently if requested by either the Chair of the Board, Committee Chai</w:t>
      </w:r>
      <w:r w:rsidR="00D50A73">
        <w:rPr>
          <w:rFonts w:ascii="Times New Roman" w:hAnsi="Times New Roman"/>
          <w:sz w:val="24"/>
          <w:szCs w:val="24"/>
        </w:rPr>
        <w:t>r, CEO or Compliance Officer.</w:t>
      </w:r>
    </w:p>
    <w:p w:rsidR="00E81B5E" w:rsidRPr="004B7C6D" w:rsidRDefault="00E81B5E" w:rsidP="00D50A73">
      <w:pPr>
        <w:pStyle w:val="BodyTextIndent"/>
        <w:ind w:left="720" w:firstLine="0"/>
        <w:rPr>
          <w:rFonts w:ascii="Times New Roman" w:hAnsi="Times New Roman"/>
          <w:sz w:val="24"/>
          <w:szCs w:val="24"/>
        </w:rPr>
      </w:pPr>
    </w:p>
    <w:p w:rsidR="00107E6B" w:rsidRPr="004B7C6D" w:rsidRDefault="00107E6B" w:rsidP="00D50A73">
      <w:pPr>
        <w:pStyle w:val="BodyTextIndent"/>
        <w:numPr>
          <w:ilvl w:val="0"/>
          <w:numId w:val="9"/>
        </w:numPr>
        <w:rPr>
          <w:rFonts w:ascii="Times New Roman" w:hAnsi="Times New Roman"/>
          <w:sz w:val="24"/>
          <w:szCs w:val="24"/>
        </w:rPr>
      </w:pPr>
      <w:r w:rsidRPr="004B7C6D">
        <w:rPr>
          <w:rFonts w:ascii="Times New Roman" w:hAnsi="Times New Roman"/>
          <w:sz w:val="24"/>
          <w:szCs w:val="24"/>
        </w:rPr>
        <w:t xml:space="preserve">Minutes reflecting Board Compliance Committee </w:t>
      </w:r>
      <w:r w:rsidR="00B17A4E" w:rsidRPr="004B7C6D">
        <w:rPr>
          <w:rFonts w:ascii="Times New Roman" w:hAnsi="Times New Roman"/>
          <w:sz w:val="24"/>
          <w:szCs w:val="24"/>
        </w:rPr>
        <w:t>recommendations</w:t>
      </w:r>
      <w:r w:rsidRPr="004B7C6D">
        <w:rPr>
          <w:rFonts w:ascii="Times New Roman" w:hAnsi="Times New Roman"/>
          <w:sz w:val="24"/>
          <w:szCs w:val="24"/>
        </w:rPr>
        <w:t>, action plans (with time frames and responsible person(s) noted), and evaluation or follow-up shall be maintained for each Board Compliance Committee meeting and will be approved by the Board Compliance Committee at the following meeting.</w:t>
      </w:r>
    </w:p>
    <w:p w:rsidR="003C434C" w:rsidRPr="004B7C6D" w:rsidRDefault="003C434C" w:rsidP="00D50A73">
      <w:pPr>
        <w:pStyle w:val="Footer"/>
        <w:tabs>
          <w:tab w:val="clear" w:pos="4320"/>
          <w:tab w:val="clear" w:pos="8640"/>
        </w:tabs>
        <w:rPr>
          <w:b/>
        </w:rPr>
      </w:pPr>
    </w:p>
    <w:p w:rsidR="00DB1F2A" w:rsidRPr="004B7C6D" w:rsidRDefault="00D50A73" w:rsidP="00D50A73">
      <w:pPr>
        <w:pStyle w:val="Footer"/>
        <w:tabs>
          <w:tab w:val="clear" w:pos="4320"/>
          <w:tab w:val="clear" w:pos="8640"/>
        </w:tabs>
      </w:pPr>
      <w:r>
        <w:rPr>
          <w:b/>
        </w:rPr>
        <w:t xml:space="preserve">4. </w:t>
      </w:r>
      <w:r w:rsidR="00107E6B" w:rsidRPr="004B7C6D">
        <w:rPr>
          <w:b/>
        </w:rPr>
        <w:t>Reporting.</w:t>
      </w:r>
      <w:r w:rsidR="00107E6B" w:rsidRPr="004B7C6D">
        <w:t xml:space="preserve"> The Board Compliance Committee </w:t>
      </w:r>
      <w:r w:rsidR="009C7AE2" w:rsidRPr="004B7C6D">
        <w:t>will report [</w:t>
      </w:r>
      <w:r w:rsidR="009C7AE2" w:rsidRPr="004B7C6D">
        <w:rPr>
          <w:i/>
        </w:rPr>
        <w:t>quarterly/bi-monthly/monthly</w:t>
      </w:r>
      <w:r w:rsidR="009C7AE2" w:rsidRPr="004B7C6D">
        <w:t>]</w:t>
      </w:r>
      <w:r w:rsidR="00107E6B" w:rsidRPr="004B7C6D">
        <w:t xml:space="preserve"> to the </w:t>
      </w:r>
      <w:r w:rsidR="000A2C0D" w:rsidRPr="004B7C6D">
        <w:t xml:space="preserve">full </w:t>
      </w:r>
      <w:r w:rsidR="00107E6B" w:rsidRPr="004B7C6D">
        <w:t xml:space="preserve">Board </w:t>
      </w:r>
      <w:r w:rsidR="000A2C0D" w:rsidRPr="004B7C6D">
        <w:t xml:space="preserve">of Directors </w:t>
      </w:r>
      <w:r w:rsidR="00107E6B" w:rsidRPr="004B7C6D">
        <w:t xml:space="preserve">on the compliance activities undertaken as part of </w:t>
      </w:r>
      <w:r w:rsidR="000A36A2" w:rsidRPr="004B7C6D">
        <w:rPr>
          <w:i/>
        </w:rPr>
        <w:t>Health Center</w:t>
      </w:r>
      <w:r w:rsidR="00107E6B" w:rsidRPr="004B7C6D">
        <w:t>’s Compliance Program.</w:t>
      </w:r>
    </w:p>
    <w:sectPr w:rsidR="00DB1F2A" w:rsidRPr="004B7C6D" w:rsidSect="00A21A3F">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60" w:rsidRDefault="00903C60">
      <w:r>
        <w:separator/>
      </w:r>
    </w:p>
  </w:endnote>
  <w:endnote w:type="continuationSeparator" w:id="0">
    <w:p w:rsidR="00903C60" w:rsidRDefault="0090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0E" w:rsidRDefault="00BC730E" w:rsidP="00BC730E">
    <w:pPr>
      <w:pBdr>
        <w:bottom w:val="single" w:sz="12" w:space="0" w:color="auto"/>
      </w:pBdr>
      <w:rPr>
        <w:sz w:val="20"/>
        <w:szCs w:val="20"/>
      </w:rPr>
    </w:pPr>
  </w:p>
  <w:p w:rsidR="00BC730E" w:rsidRDefault="00BC730E" w:rsidP="00BC730E">
    <w:pPr>
      <w:tabs>
        <w:tab w:val="left" w:pos="2340"/>
      </w:tabs>
      <w:jc w:val="center"/>
      <w:rPr>
        <w:sz w:val="20"/>
        <w:szCs w:val="20"/>
      </w:rPr>
    </w:pPr>
  </w:p>
  <w:p w:rsidR="00BC730E" w:rsidRPr="00503CAA" w:rsidRDefault="00BC730E" w:rsidP="00BC730E">
    <w:pPr>
      <w:tabs>
        <w:tab w:val="left" w:pos="2340"/>
      </w:tabs>
      <w:jc w:val="center"/>
      <w:rPr>
        <w:sz w:val="20"/>
        <w:szCs w:val="20"/>
      </w:rPr>
    </w:pPr>
    <w:r w:rsidRPr="00503CAA">
      <w:rPr>
        <w:sz w:val="20"/>
        <w:szCs w:val="20"/>
        <w:lang w:val="de-DE"/>
      </w:rPr>
      <w:t xml:space="preserve">© </w:t>
    </w:r>
    <w:r w:rsidRPr="00503CAA">
      <w:rPr>
        <w:sz w:val="20"/>
        <w:szCs w:val="20"/>
        <w:lang w:val="de-DE"/>
      </w:rPr>
      <w:t>201</w:t>
    </w:r>
    <w:r w:rsidR="000A36A2">
      <w:rPr>
        <w:sz w:val="20"/>
        <w:szCs w:val="20"/>
        <w:lang w:val="de-DE"/>
      </w:rPr>
      <w:t>7</w:t>
    </w:r>
    <w:r w:rsidRPr="00503CAA">
      <w:rPr>
        <w:sz w:val="20"/>
        <w:szCs w:val="20"/>
        <w:lang w:val="de-DE"/>
      </w:rPr>
      <w:t xml:space="preserve"> </w:t>
    </w:r>
    <w:r w:rsidRPr="00503CAA">
      <w:rPr>
        <w:sz w:val="20"/>
        <w:szCs w:val="20"/>
      </w:rPr>
      <w:t xml:space="preserve">National Association of Community </w:t>
    </w:r>
    <w:r w:rsidR="000A36A2" w:rsidRPr="008F3D9E">
      <w:rPr>
        <w:sz w:val="20"/>
        <w:szCs w:val="20"/>
      </w:rPr>
      <w:t>Health Center</w:t>
    </w:r>
    <w:r w:rsidRPr="008F3D9E">
      <w:rPr>
        <w:sz w:val="20"/>
        <w:szCs w:val="20"/>
      </w:rPr>
      <w:t>s</w:t>
    </w:r>
    <w:r w:rsidRPr="00503CAA">
      <w:rPr>
        <w:sz w:val="20"/>
        <w:szCs w:val="20"/>
      </w:rPr>
      <w:t>, Inc.</w:t>
    </w:r>
  </w:p>
  <w:p w:rsidR="00BC730E" w:rsidRPr="00503CAA" w:rsidRDefault="00BC730E" w:rsidP="00BC730E">
    <w:pPr>
      <w:tabs>
        <w:tab w:val="left" w:pos="2340"/>
      </w:tabs>
      <w:jc w:val="center"/>
      <w:rPr>
        <w:sz w:val="20"/>
        <w:szCs w:val="20"/>
        <w:lang w:val="de-DE"/>
      </w:rPr>
    </w:pPr>
    <w:r w:rsidRPr="00503CAA">
      <w:rPr>
        <w:sz w:val="20"/>
        <w:szCs w:val="20"/>
        <w:lang w:val="de-DE"/>
      </w:rPr>
      <w:t>and Feldesman Tucker Leifer Fidell LLP</w:t>
    </w:r>
  </w:p>
  <w:p w:rsidR="00BC730E" w:rsidRPr="00503CAA" w:rsidRDefault="00BC730E" w:rsidP="00BC730E">
    <w:pPr>
      <w:tabs>
        <w:tab w:val="left" w:pos="2340"/>
      </w:tabs>
      <w:jc w:val="center"/>
      <w:rPr>
        <w:sz w:val="20"/>
        <w:szCs w:val="20"/>
        <w:lang w:val="de-DE"/>
      </w:rPr>
    </w:pPr>
  </w:p>
  <w:p w:rsidR="00BC730E" w:rsidRPr="00181EF9" w:rsidRDefault="00BC730E" w:rsidP="00BC730E">
    <w:pPr>
      <w:tabs>
        <w:tab w:val="left" w:pos="2340"/>
      </w:tabs>
      <w:jc w:val="center"/>
      <w:rP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8F3D9E">
      <w:rPr>
        <w:rStyle w:val="PageNumber"/>
        <w:noProof/>
        <w:sz w:val="20"/>
        <w:szCs w:val="20"/>
      </w:rPr>
      <w:t>1</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60" w:rsidRDefault="00903C60">
      <w:r>
        <w:separator/>
      </w:r>
    </w:p>
  </w:footnote>
  <w:footnote w:type="continuationSeparator" w:id="0">
    <w:p w:rsidR="00903C60" w:rsidRDefault="00903C60">
      <w:r>
        <w:continuationSeparator/>
      </w:r>
    </w:p>
  </w:footnote>
  <w:footnote w:id="1">
    <w:p w:rsidR="003B3EA0" w:rsidRPr="00DB1F2A" w:rsidRDefault="003B3EA0" w:rsidP="001E3A79">
      <w:pPr>
        <w:pStyle w:val="FootnoteText"/>
        <w:ind w:left="360" w:hanging="360"/>
      </w:pPr>
      <w:r w:rsidRPr="00DB1F2A">
        <w:rPr>
          <w:rStyle w:val="FootnoteReference"/>
        </w:rPr>
        <w:footnoteRef/>
      </w:r>
      <w:r w:rsidR="00B6131C">
        <w:t xml:space="preserve"> </w:t>
      </w:r>
      <w:r w:rsidR="001E3A79">
        <w:tab/>
      </w:r>
      <w:r w:rsidRPr="00DB1F2A">
        <w:t>The Authors of these materials include attorneys at the law firm of Felde</w:t>
      </w:r>
      <w:r w:rsidR="00BA013A">
        <w:t xml:space="preserve">sman Tucker Leifer Fidell LLP. </w:t>
      </w:r>
      <w:r w:rsidRPr="00DB1F2A">
        <w:t>The sample documents o</w:t>
      </w:r>
      <w:r w:rsidR="00C73DD6">
        <w:t>ffer general guidance based on f</w:t>
      </w:r>
      <w:r w:rsidRPr="00DB1F2A">
        <w:t>ederal law an</w:t>
      </w:r>
      <w:r w:rsidR="00C73DD6">
        <w:t>d regulations</w:t>
      </w:r>
      <w:r w:rsidRPr="00DB1F2A">
        <w:t xml:space="preserve"> and do not necessarily apply to all </w:t>
      </w:r>
      <w:r w:rsidR="000A36A2" w:rsidRPr="000A36A2">
        <w:rPr>
          <w:i/>
        </w:rPr>
        <w:t>Health Center</w:t>
      </w:r>
      <w:r w:rsidRPr="00DB1F2A">
        <w:t>s unde</w:t>
      </w:r>
      <w:r w:rsidR="00BA013A">
        <w:t>r all facts and circumstances.</w:t>
      </w:r>
      <w:r w:rsidR="001E3A79">
        <w:t xml:space="preserve"> </w:t>
      </w:r>
      <w:r w:rsidRPr="00DB1F2A">
        <w:t>Further, these materials do not replace, and are not a substitute for, legal advice from qualified legal counsel.</w:t>
      </w:r>
    </w:p>
  </w:footnote>
  <w:footnote w:id="2">
    <w:p w:rsidR="00B6131C" w:rsidRDefault="00B6131C" w:rsidP="001E3A79">
      <w:pPr>
        <w:pStyle w:val="FootnoteText"/>
        <w:ind w:left="360" w:hanging="360"/>
      </w:pPr>
      <w:r>
        <w:rPr>
          <w:rStyle w:val="FootnoteReference"/>
        </w:rPr>
        <w:footnoteRef/>
      </w:r>
      <w:r w:rsidRPr="00DB1F2A">
        <w:t xml:space="preserve"> </w:t>
      </w:r>
      <w:r w:rsidR="001E3A79">
        <w:tab/>
      </w:r>
      <w:proofErr w:type="gramStart"/>
      <w:r w:rsidR="008E5D91" w:rsidRPr="00633ABA">
        <w:t>Compliance Program Guidance for Individual and Small Group Physician Practices</w:t>
      </w:r>
      <w:r w:rsidR="008E5D91">
        <w:t xml:space="preserve">, </w:t>
      </w:r>
      <w:r w:rsidRPr="00DB1F2A">
        <w:t>65 Fed.</w:t>
      </w:r>
      <w:proofErr w:type="gramEnd"/>
      <w:r w:rsidRPr="00DB1F2A">
        <w:t xml:space="preserve"> Reg. 59434 (Oct. 5,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30E" w:rsidRPr="00BC730E" w:rsidRDefault="00BC730E" w:rsidP="00BC730E">
    <w:pPr>
      <w:pBdr>
        <w:bottom w:val="single" w:sz="12" w:space="2" w:color="auto"/>
      </w:pBdr>
      <w:jc w:val="center"/>
      <w:rPr>
        <w:sz w:val="20"/>
        <w:szCs w:val="20"/>
      </w:rPr>
    </w:pPr>
    <w:r w:rsidRPr="00BC730E">
      <w:rPr>
        <w:sz w:val="20"/>
        <w:szCs w:val="20"/>
      </w:rPr>
      <w:t>E</w:t>
    </w:r>
    <w:r w:rsidR="000A36A2">
      <w:rPr>
        <w:sz w:val="20"/>
        <w:szCs w:val="20"/>
      </w:rPr>
      <w:t xml:space="preserve">lement One: </w:t>
    </w:r>
  </w:p>
  <w:p w:rsidR="00BC730E" w:rsidRDefault="00BC730E" w:rsidP="00BC730E">
    <w:pPr>
      <w:pBdr>
        <w:bottom w:val="single" w:sz="12" w:space="2" w:color="auto"/>
      </w:pBdr>
      <w:jc w:val="center"/>
      <w:rPr>
        <w:sz w:val="20"/>
        <w:szCs w:val="20"/>
      </w:rPr>
    </w:pPr>
    <w:r w:rsidRPr="00BC730E">
      <w:rPr>
        <w:sz w:val="20"/>
        <w:szCs w:val="20"/>
      </w:rPr>
      <w:t>Compliance Program</w:t>
    </w:r>
    <w:r w:rsidR="000A36A2">
      <w:rPr>
        <w:sz w:val="20"/>
        <w:szCs w:val="20"/>
      </w:rPr>
      <w:t xml:space="preserve"> Structure</w:t>
    </w:r>
  </w:p>
  <w:p w:rsidR="00BC730E" w:rsidRPr="00181EF9" w:rsidRDefault="00BC730E" w:rsidP="00BC730E">
    <w:pPr>
      <w:pBdr>
        <w:bottom w:val="single" w:sz="12" w:space="2" w:color="auto"/>
      </w:pBdr>
      <w:rPr>
        <w:sz w:val="20"/>
        <w:szCs w:val="20"/>
      </w:rPr>
    </w:pPr>
  </w:p>
  <w:p w:rsidR="003B3EA0" w:rsidRPr="00F007B7" w:rsidRDefault="003B3EA0" w:rsidP="00F00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F76"/>
    <w:multiLevelType w:val="multilevel"/>
    <w:tmpl w:val="600E888C"/>
    <w:lvl w:ilvl="0">
      <w:start w:val="1"/>
      <w:numFmt w:val="decimal"/>
      <w:lvlText w:val="%1."/>
      <w:lvlJc w:val="left"/>
      <w:pPr>
        <w:tabs>
          <w:tab w:val="num" w:pos="1080"/>
        </w:tabs>
        <w:ind w:left="1080" w:hanging="360"/>
      </w:pPr>
      <w:rPr>
        <w:rFonts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D8D1E80"/>
    <w:multiLevelType w:val="hybridMultilevel"/>
    <w:tmpl w:val="F650064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4F1F05"/>
    <w:multiLevelType w:val="hybridMultilevel"/>
    <w:tmpl w:val="9574F020"/>
    <w:lvl w:ilvl="0" w:tplc="04090015">
      <w:start w:val="1"/>
      <w:numFmt w:val="upperLetter"/>
      <w:lvlText w:val="%1."/>
      <w:lvlJc w:val="left"/>
      <w:pPr>
        <w:tabs>
          <w:tab w:val="num" w:pos="1080"/>
        </w:tabs>
        <w:ind w:left="1080" w:hanging="360"/>
      </w:pPr>
      <w:rPr>
        <w:rFont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27B75D45"/>
    <w:multiLevelType w:val="hybridMultilevel"/>
    <w:tmpl w:val="42089650"/>
    <w:lvl w:ilvl="0" w:tplc="122EBD4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47E53"/>
    <w:multiLevelType w:val="hybridMultilevel"/>
    <w:tmpl w:val="7714A55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4D2683"/>
    <w:multiLevelType w:val="hybridMultilevel"/>
    <w:tmpl w:val="74B23D46"/>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A95092"/>
    <w:multiLevelType w:val="hybridMultilevel"/>
    <w:tmpl w:val="832CB3F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7F0ED2"/>
    <w:multiLevelType w:val="hybridMultilevel"/>
    <w:tmpl w:val="A0820B66"/>
    <w:lvl w:ilvl="0" w:tplc="DCCC0B32">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21616A"/>
    <w:multiLevelType w:val="hybridMultilevel"/>
    <w:tmpl w:val="1FAEDC4C"/>
    <w:lvl w:ilvl="0" w:tplc="D444AC7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C2"/>
    <w:rsid w:val="000017EB"/>
    <w:rsid w:val="00002108"/>
    <w:rsid w:val="0003408F"/>
    <w:rsid w:val="00057429"/>
    <w:rsid w:val="00057FB8"/>
    <w:rsid w:val="000732AB"/>
    <w:rsid w:val="000A2C0D"/>
    <w:rsid w:val="000A36A2"/>
    <w:rsid w:val="000B3F3E"/>
    <w:rsid w:val="000E0664"/>
    <w:rsid w:val="000F29F9"/>
    <w:rsid w:val="00107E6B"/>
    <w:rsid w:val="00173C57"/>
    <w:rsid w:val="00177670"/>
    <w:rsid w:val="001C20E9"/>
    <w:rsid w:val="001E3A79"/>
    <w:rsid w:val="001F3624"/>
    <w:rsid w:val="00243693"/>
    <w:rsid w:val="00246417"/>
    <w:rsid w:val="0025761E"/>
    <w:rsid w:val="002643E3"/>
    <w:rsid w:val="00290120"/>
    <w:rsid w:val="002D7711"/>
    <w:rsid w:val="00312C9E"/>
    <w:rsid w:val="00333FB2"/>
    <w:rsid w:val="003A0DAB"/>
    <w:rsid w:val="003B3EA0"/>
    <w:rsid w:val="003C434C"/>
    <w:rsid w:val="003D14AA"/>
    <w:rsid w:val="003E3AAF"/>
    <w:rsid w:val="00420380"/>
    <w:rsid w:val="00420A8F"/>
    <w:rsid w:val="00482E17"/>
    <w:rsid w:val="0048477F"/>
    <w:rsid w:val="00486719"/>
    <w:rsid w:val="004A5B8A"/>
    <w:rsid w:val="004B7C6D"/>
    <w:rsid w:val="004F0135"/>
    <w:rsid w:val="0051221F"/>
    <w:rsid w:val="00514E45"/>
    <w:rsid w:val="00563211"/>
    <w:rsid w:val="00564556"/>
    <w:rsid w:val="00581069"/>
    <w:rsid w:val="005F5DF1"/>
    <w:rsid w:val="006031FC"/>
    <w:rsid w:val="00633ABA"/>
    <w:rsid w:val="006375D7"/>
    <w:rsid w:val="00637AB7"/>
    <w:rsid w:val="00651B88"/>
    <w:rsid w:val="00657CC1"/>
    <w:rsid w:val="0068644D"/>
    <w:rsid w:val="00687090"/>
    <w:rsid w:val="0069739F"/>
    <w:rsid w:val="006E427D"/>
    <w:rsid w:val="00715D97"/>
    <w:rsid w:val="00725ED6"/>
    <w:rsid w:val="007A5B2A"/>
    <w:rsid w:val="007D59D9"/>
    <w:rsid w:val="007E16A5"/>
    <w:rsid w:val="008000D7"/>
    <w:rsid w:val="008308AB"/>
    <w:rsid w:val="0084594F"/>
    <w:rsid w:val="00893100"/>
    <w:rsid w:val="008C0DDC"/>
    <w:rsid w:val="008E5D91"/>
    <w:rsid w:val="008F3D9E"/>
    <w:rsid w:val="008F7F49"/>
    <w:rsid w:val="00903C60"/>
    <w:rsid w:val="00920088"/>
    <w:rsid w:val="009217E5"/>
    <w:rsid w:val="00925C95"/>
    <w:rsid w:val="00967E79"/>
    <w:rsid w:val="009C7AE2"/>
    <w:rsid w:val="009E3E31"/>
    <w:rsid w:val="009E64C1"/>
    <w:rsid w:val="00A11C0D"/>
    <w:rsid w:val="00A137E9"/>
    <w:rsid w:val="00A21A3F"/>
    <w:rsid w:val="00A43E8B"/>
    <w:rsid w:val="00A74C2D"/>
    <w:rsid w:val="00A97A37"/>
    <w:rsid w:val="00AB44B0"/>
    <w:rsid w:val="00AD1D79"/>
    <w:rsid w:val="00AD241E"/>
    <w:rsid w:val="00AF48B6"/>
    <w:rsid w:val="00B17A4E"/>
    <w:rsid w:val="00B262B6"/>
    <w:rsid w:val="00B6131C"/>
    <w:rsid w:val="00B66973"/>
    <w:rsid w:val="00B66AFB"/>
    <w:rsid w:val="00B7062A"/>
    <w:rsid w:val="00B733B9"/>
    <w:rsid w:val="00B81BE5"/>
    <w:rsid w:val="00B95783"/>
    <w:rsid w:val="00BA013A"/>
    <w:rsid w:val="00BA44E9"/>
    <w:rsid w:val="00BC730E"/>
    <w:rsid w:val="00BF2347"/>
    <w:rsid w:val="00C11155"/>
    <w:rsid w:val="00C57C94"/>
    <w:rsid w:val="00C73DD6"/>
    <w:rsid w:val="00CE44AB"/>
    <w:rsid w:val="00CF25A9"/>
    <w:rsid w:val="00CF4220"/>
    <w:rsid w:val="00D50A73"/>
    <w:rsid w:val="00D66E7B"/>
    <w:rsid w:val="00D67832"/>
    <w:rsid w:val="00D82AD8"/>
    <w:rsid w:val="00DA136C"/>
    <w:rsid w:val="00DA5153"/>
    <w:rsid w:val="00DB1F2A"/>
    <w:rsid w:val="00DE5717"/>
    <w:rsid w:val="00E1670B"/>
    <w:rsid w:val="00E31890"/>
    <w:rsid w:val="00E3558E"/>
    <w:rsid w:val="00E50CD6"/>
    <w:rsid w:val="00E57DA3"/>
    <w:rsid w:val="00E81B5E"/>
    <w:rsid w:val="00E81EC2"/>
    <w:rsid w:val="00EC62C3"/>
    <w:rsid w:val="00EE11F1"/>
    <w:rsid w:val="00EE7892"/>
    <w:rsid w:val="00F007B7"/>
    <w:rsid w:val="00F05368"/>
    <w:rsid w:val="00F3436A"/>
    <w:rsid w:val="00F37F9C"/>
    <w:rsid w:val="00F56AB0"/>
    <w:rsid w:val="00F80992"/>
    <w:rsid w:val="00F81A8D"/>
    <w:rsid w:val="00F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4AA"/>
    <w:pPr>
      <w:tabs>
        <w:tab w:val="center" w:pos="4320"/>
        <w:tab w:val="right" w:pos="8640"/>
      </w:tabs>
    </w:pPr>
  </w:style>
  <w:style w:type="paragraph" w:styleId="Footer">
    <w:name w:val="footer"/>
    <w:basedOn w:val="Normal"/>
    <w:rsid w:val="003D14AA"/>
    <w:pPr>
      <w:tabs>
        <w:tab w:val="center" w:pos="4320"/>
        <w:tab w:val="right" w:pos="8640"/>
      </w:tabs>
    </w:pPr>
  </w:style>
  <w:style w:type="paragraph" w:styleId="Title">
    <w:name w:val="Title"/>
    <w:basedOn w:val="Normal"/>
    <w:qFormat/>
    <w:rsid w:val="003D14AA"/>
    <w:pPr>
      <w:jc w:val="center"/>
    </w:pPr>
    <w:rPr>
      <w:rFonts w:ascii="Arial" w:hAnsi="Arial"/>
      <w:b/>
      <w:bCs/>
      <w:sz w:val="22"/>
      <w:szCs w:val="20"/>
    </w:rPr>
  </w:style>
  <w:style w:type="paragraph" w:styleId="BodyTextIndent">
    <w:name w:val="Body Text Indent"/>
    <w:basedOn w:val="Normal"/>
    <w:rsid w:val="003D14AA"/>
    <w:pPr>
      <w:ind w:left="1440" w:hanging="720"/>
    </w:pPr>
    <w:rPr>
      <w:rFonts w:ascii="Arial" w:hAnsi="Arial"/>
      <w:sz w:val="22"/>
      <w:szCs w:val="20"/>
    </w:rPr>
  </w:style>
  <w:style w:type="paragraph" w:styleId="BodyTextIndent3">
    <w:name w:val="Body Text Indent 3"/>
    <w:basedOn w:val="Normal"/>
    <w:rsid w:val="003D14AA"/>
    <w:pPr>
      <w:ind w:firstLine="720"/>
    </w:pPr>
  </w:style>
  <w:style w:type="paragraph" w:styleId="BalloonText">
    <w:name w:val="Balloon Text"/>
    <w:basedOn w:val="Normal"/>
    <w:semiHidden/>
    <w:rsid w:val="00002108"/>
    <w:rPr>
      <w:rFonts w:ascii="Tahoma" w:hAnsi="Tahoma" w:cs="Tahoma"/>
      <w:sz w:val="16"/>
      <w:szCs w:val="16"/>
    </w:rPr>
  </w:style>
  <w:style w:type="character" w:styleId="Hyperlink">
    <w:name w:val="Hyperlink"/>
    <w:rsid w:val="00564556"/>
    <w:rPr>
      <w:color w:val="0000FF"/>
      <w:u w:val="single"/>
    </w:rPr>
  </w:style>
  <w:style w:type="character" w:styleId="CommentReference">
    <w:name w:val="annotation reference"/>
    <w:semiHidden/>
    <w:rsid w:val="006E427D"/>
    <w:rPr>
      <w:sz w:val="16"/>
      <w:szCs w:val="16"/>
    </w:rPr>
  </w:style>
  <w:style w:type="paragraph" w:styleId="CommentText">
    <w:name w:val="annotation text"/>
    <w:basedOn w:val="Normal"/>
    <w:semiHidden/>
    <w:rsid w:val="006E427D"/>
    <w:rPr>
      <w:sz w:val="20"/>
      <w:szCs w:val="20"/>
    </w:rPr>
  </w:style>
  <w:style w:type="paragraph" w:styleId="CommentSubject">
    <w:name w:val="annotation subject"/>
    <w:basedOn w:val="CommentText"/>
    <w:next w:val="CommentText"/>
    <w:semiHidden/>
    <w:rsid w:val="006E427D"/>
    <w:rPr>
      <w:b/>
      <w:bCs/>
    </w:rPr>
  </w:style>
  <w:style w:type="paragraph" w:styleId="FootnoteText">
    <w:name w:val="footnote text"/>
    <w:basedOn w:val="Normal"/>
    <w:semiHidden/>
    <w:rsid w:val="000F29F9"/>
    <w:rPr>
      <w:sz w:val="20"/>
      <w:szCs w:val="20"/>
    </w:rPr>
  </w:style>
  <w:style w:type="character" w:styleId="FootnoteReference">
    <w:name w:val="footnote reference"/>
    <w:semiHidden/>
    <w:rsid w:val="000F29F9"/>
    <w:rPr>
      <w:vertAlign w:val="superscript"/>
    </w:rPr>
  </w:style>
  <w:style w:type="character" w:styleId="PageNumber">
    <w:name w:val="page number"/>
    <w:basedOn w:val="DefaultParagraphFont"/>
    <w:rsid w:val="000A2C0D"/>
  </w:style>
  <w:style w:type="paragraph" w:styleId="ListParagraph">
    <w:name w:val="List Paragraph"/>
    <w:basedOn w:val="Normal"/>
    <w:uiPriority w:val="34"/>
    <w:qFormat/>
    <w:rsid w:val="0068644D"/>
    <w:pPr>
      <w:ind w:left="720"/>
    </w:pPr>
  </w:style>
  <w:style w:type="character" w:customStyle="1" w:styleId="HeaderChar">
    <w:name w:val="Header Char"/>
    <w:link w:val="Header"/>
    <w:uiPriority w:val="99"/>
    <w:rsid w:val="00F007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4AA"/>
    <w:pPr>
      <w:tabs>
        <w:tab w:val="center" w:pos="4320"/>
        <w:tab w:val="right" w:pos="8640"/>
      </w:tabs>
    </w:pPr>
  </w:style>
  <w:style w:type="paragraph" w:styleId="Footer">
    <w:name w:val="footer"/>
    <w:basedOn w:val="Normal"/>
    <w:rsid w:val="003D14AA"/>
    <w:pPr>
      <w:tabs>
        <w:tab w:val="center" w:pos="4320"/>
        <w:tab w:val="right" w:pos="8640"/>
      </w:tabs>
    </w:pPr>
  </w:style>
  <w:style w:type="paragraph" w:styleId="Title">
    <w:name w:val="Title"/>
    <w:basedOn w:val="Normal"/>
    <w:qFormat/>
    <w:rsid w:val="003D14AA"/>
    <w:pPr>
      <w:jc w:val="center"/>
    </w:pPr>
    <w:rPr>
      <w:rFonts w:ascii="Arial" w:hAnsi="Arial"/>
      <w:b/>
      <w:bCs/>
      <w:sz w:val="22"/>
      <w:szCs w:val="20"/>
    </w:rPr>
  </w:style>
  <w:style w:type="paragraph" w:styleId="BodyTextIndent">
    <w:name w:val="Body Text Indent"/>
    <w:basedOn w:val="Normal"/>
    <w:rsid w:val="003D14AA"/>
    <w:pPr>
      <w:ind w:left="1440" w:hanging="720"/>
    </w:pPr>
    <w:rPr>
      <w:rFonts w:ascii="Arial" w:hAnsi="Arial"/>
      <w:sz w:val="22"/>
      <w:szCs w:val="20"/>
    </w:rPr>
  </w:style>
  <w:style w:type="paragraph" w:styleId="BodyTextIndent3">
    <w:name w:val="Body Text Indent 3"/>
    <w:basedOn w:val="Normal"/>
    <w:rsid w:val="003D14AA"/>
    <w:pPr>
      <w:ind w:firstLine="720"/>
    </w:pPr>
  </w:style>
  <w:style w:type="paragraph" w:styleId="BalloonText">
    <w:name w:val="Balloon Text"/>
    <w:basedOn w:val="Normal"/>
    <w:semiHidden/>
    <w:rsid w:val="00002108"/>
    <w:rPr>
      <w:rFonts w:ascii="Tahoma" w:hAnsi="Tahoma" w:cs="Tahoma"/>
      <w:sz w:val="16"/>
      <w:szCs w:val="16"/>
    </w:rPr>
  </w:style>
  <w:style w:type="character" w:styleId="Hyperlink">
    <w:name w:val="Hyperlink"/>
    <w:rsid w:val="00564556"/>
    <w:rPr>
      <w:color w:val="0000FF"/>
      <w:u w:val="single"/>
    </w:rPr>
  </w:style>
  <w:style w:type="character" w:styleId="CommentReference">
    <w:name w:val="annotation reference"/>
    <w:semiHidden/>
    <w:rsid w:val="006E427D"/>
    <w:rPr>
      <w:sz w:val="16"/>
      <w:szCs w:val="16"/>
    </w:rPr>
  </w:style>
  <w:style w:type="paragraph" w:styleId="CommentText">
    <w:name w:val="annotation text"/>
    <w:basedOn w:val="Normal"/>
    <w:semiHidden/>
    <w:rsid w:val="006E427D"/>
    <w:rPr>
      <w:sz w:val="20"/>
      <w:szCs w:val="20"/>
    </w:rPr>
  </w:style>
  <w:style w:type="paragraph" w:styleId="CommentSubject">
    <w:name w:val="annotation subject"/>
    <w:basedOn w:val="CommentText"/>
    <w:next w:val="CommentText"/>
    <w:semiHidden/>
    <w:rsid w:val="006E427D"/>
    <w:rPr>
      <w:b/>
      <w:bCs/>
    </w:rPr>
  </w:style>
  <w:style w:type="paragraph" w:styleId="FootnoteText">
    <w:name w:val="footnote text"/>
    <w:basedOn w:val="Normal"/>
    <w:semiHidden/>
    <w:rsid w:val="000F29F9"/>
    <w:rPr>
      <w:sz w:val="20"/>
      <w:szCs w:val="20"/>
    </w:rPr>
  </w:style>
  <w:style w:type="character" w:styleId="FootnoteReference">
    <w:name w:val="footnote reference"/>
    <w:semiHidden/>
    <w:rsid w:val="000F29F9"/>
    <w:rPr>
      <w:vertAlign w:val="superscript"/>
    </w:rPr>
  </w:style>
  <w:style w:type="character" w:styleId="PageNumber">
    <w:name w:val="page number"/>
    <w:basedOn w:val="DefaultParagraphFont"/>
    <w:rsid w:val="000A2C0D"/>
  </w:style>
  <w:style w:type="paragraph" w:styleId="ListParagraph">
    <w:name w:val="List Paragraph"/>
    <w:basedOn w:val="Normal"/>
    <w:uiPriority w:val="34"/>
    <w:qFormat/>
    <w:rsid w:val="0068644D"/>
    <w:pPr>
      <w:ind w:left="720"/>
    </w:pPr>
  </w:style>
  <w:style w:type="character" w:customStyle="1" w:styleId="HeaderChar">
    <w:name w:val="Header Char"/>
    <w:link w:val="Header"/>
    <w:uiPriority w:val="99"/>
    <w:rsid w:val="00F00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6AA7-3815-4FBC-8F06-199A6B2C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Document</vt:lpstr>
    </vt:vector>
  </TitlesOfParts>
  <Company>Feldesman Tucker Leifer Fidell LLP</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dc:title>
  <dc:creator>Uri Bilek</dc:creator>
  <cp:lastModifiedBy>Pledgie, Dianne</cp:lastModifiedBy>
  <cp:revision>6</cp:revision>
  <cp:lastPrinted>2017-07-12T14:09:00Z</cp:lastPrinted>
  <dcterms:created xsi:type="dcterms:W3CDTF">2017-07-10T16:30:00Z</dcterms:created>
  <dcterms:modified xsi:type="dcterms:W3CDTF">2017-09-25T17:42:00Z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-1693703628</vt:i4>
  </property>
  <property fmtid="{D5CDD505-2E9C-101B-9397-08002B2CF9AE}" pid="3" name="_NewReviewCycle">
    <vt:lpwstr/>
  </property>
  <property fmtid="{D5CDD505-2E9C-101B-9397-08002B2CF9AE}" pid="4" name="_EmailSubject">
    <vt:lpwstr/>
  </property>
  <property fmtid="{D5CDD505-2E9C-101B-9397-08002B2CF9AE}" pid="5" name="_AuthorEmail">
    <vt:lpwstr>AFalk@feldesmantucker.com</vt:lpwstr>
  </property>
  <property fmtid="{D5CDD505-2E9C-101B-9397-08002B2CF9AE}" pid="6" name="_AuthorEmailDisplayName">
    <vt:lpwstr>Falk, Adam J.</vt:lpwstr>
  </property>
  <property fmtid="{D5CDD505-2E9C-101B-9397-08002B2CF9AE}" pid="7" name="_ReviewingToolsShownOnce">
    <vt:lpwstr/>
  </property>
</Properties>
</file>