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3D" w:rsidRPr="00665CB8" w:rsidRDefault="006C573D" w:rsidP="006C573D">
      <w:pPr>
        <w:pStyle w:val="Heading3"/>
        <w:jc w:val="center"/>
        <w:rPr>
          <w:b/>
          <w:bCs/>
          <w:kern w:val="2"/>
          <w:sz w:val="32"/>
          <w:szCs w:val="32"/>
          <w:u w:val="none"/>
        </w:rPr>
      </w:pPr>
      <w:r w:rsidRPr="00665CB8">
        <w:rPr>
          <w:b/>
          <w:bCs/>
          <w:kern w:val="2"/>
          <w:sz w:val="32"/>
          <w:szCs w:val="32"/>
          <w:u w:val="none"/>
        </w:rPr>
        <w:t>Antitrust Compliance for</w:t>
      </w:r>
    </w:p>
    <w:p w:rsidR="006C573D" w:rsidRPr="00665CB8" w:rsidRDefault="006C573D" w:rsidP="006C573D">
      <w:pPr>
        <w:pStyle w:val="Heading3"/>
        <w:jc w:val="center"/>
        <w:rPr>
          <w:b/>
          <w:bCs/>
          <w:kern w:val="2"/>
          <w:sz w:val="32"/>
          <w:szCs w:val="32"/>
          <w:u w:val="none"/>
        </w:rPr>
      </w:pPr>
      <w:r w:rsidRPr="00665CB8">
        <w:rPr>
          <w:b/>
          <w:bCs/>
          <w:kern w:val="2"/>
          <w:sz w:val="32"/>
          <w:szCs w:val="32"/>
          <w:u w:val="none"/>
        </w:rPr>
        <w:t>Managed Care Network Arrangements</w:t>
      </w:r>
      <w:r w:rsidR="006D793F" w:rsidRPr="00665CB8">
        <w:rPr>
          <w:b/>
          <w:bCs/>
          <w:kern w:val="2"/>
          <w:sz w:val="32"/>
          <w:szCs w:val="32"/>
          <w:u w:val="none"/>
        </w:rPr>
        <w:t>: Checklist</w:t>
      </w:r>
      <w:r w:rsidR="00E80717" w:rsidRPr="00665CB8">
        <w:rPr>
          <w:rStyle w:val="FootnoteReference"/>
          <w:b/>
          <w:bCs/>
          <w:kern w:val="2"/>
          <w:szCs w:val="24"/>
          <w:u w:val="none"/>
        </w:rPr>
        <w:footnoteReference w:id="1"/>
      </w:r>
    </w:p>
    <w:p w:rsidR="006C573D" w:rsidRPr="00665CB8" w:rsidRDefault="006C573D" w:rsidP="006C573D">
      <w:pPr>
        <w:pBdr>
          <w:bottom w:val="single" w:sz="12" w:space="1" w:color="auto"/>
        </w:pBdr>
        <w:autoSpaceDE w:val="0"/>
        <w:autoSpaceDN w:val="0"/>
        <w:adjustRightInd w:val="0"/>
        <w:ind w:right="-20"/>
        <w:rPr>
          <w:b/>
          <w:bCs w:val="0"/>
          <w:spacing w:val="0"/>
          <w:kern w:val="2"/>
        </w:rPr>
      </w:pPr>
    </w:p>
    <w:p w:rsidR="00AA236A" w:rsidRPr="00665CB8" w:rsidRDefault="00AA236A" w:rsidP="00AA236A">
      <w:pPr>
        <w:rPr>
          <w:b/>
          <w:bCs w:val="0"/>
          <w:spacing w:val="0"/>
          <w:kern w:val="2"/>
          <w:u w:val="single"/>
        </w:rPr>
      </w:pPr>
    </w:p>
    <w:p w:rsidR="00F91DBA" w:rsidRPr="00665CB8" w:rsidRDefault="00F91DBA" w:rsidP="00F91DBA">
      <w:pPr>
        <w:jc w:val="both"/>
        <w:rPr>
          <w:b/>
          <w:bCs w:val="0"/>
          <w:spacing w:val="0"/>
          <w:kern w:val="2"/>
          <w:szCs w:val="22"/>
        </w:rPr>
      </w:pPr>
      <w:r w:rsidRPr="00665CB8">
        <w:rPr>
          <w:b/>
          <w:bCs w:val="0"/>
          <w:spacing w:val="0"/>
          <w:kern w:val="2"/>
          <w:szCs w:val="22"/>
        </w:rPr>
        <w:t>General Questions</w:t>
      </w:r>
    </w:p>
    <w:p w:rsidR="00F91DBA" w:rsidRPr="00665CB8" w:rsidRDefault="00F91DBA" w:rsidP="00F91DBA">
      <w:pPr>
        <w:jc w:val="both"/>
        <w:rPr>
          <w:b/>
          <w:bCs w:val="0"/>
          <w:spacing w:val="0"/>
          <w:kern w:val="2"/>
          <w:szCs w:val="22"/>
        </w:rPr>
      </w:pPr>
    </w:p>
    <w:p w:rsidR="00F91DBA" w:rsidRPr="00665CB8" w:rsidRDefault="00F91DBA" w:rsidP="00F91DBA">
      <w:pPr>
        <w:numPr>
          <w:ilvl w:val="0"/>
          <w:numId w:val="2"/>
        </w:numPr>
        <w:contextualSpacing/>
        <w:jc w:val="both"/>
        <w:rPr>
          <w:bCs w:val="0"/>
          <w:spacing w:val="0"/>
          <w:kern w:val="2"/>
          <w:szCs w:val="22"/>
        </w:rPr>
      </w:pPr>
      <w:r w:rsidRPr="00665CB8">
        <w:rPr>
          <w:bCs w:val="0"/>
          <w:spacing w:val="0"/>
          <w:kern w:val="2"/>
          <w:szCs w:val="22"/>
        </w:rPr>
        <w:t xml:space="preserve">Does the arrangement involve price fixing, group boycotts, or a market allocation agreement? </w:t>
      </w:r>
    </w:p>
    <w:p w:rsidR="00F91DBA" w:rsidRPr="00665CB8" w:rsidRDefault="00F91DBA" w:rsidP="008554A0">
      <w:pPr>
        <w:numPr>
          <w:ilvl w:val="1"/>
          <w:numId w:val="2"/>
        </w:numPr>
        <w:ind w:left="1080"/>
        <w:contextualSpacing/>
        <w:jc w:val="both"/>
        <w:rPr>
          <w:b/>
          <w:bCs w:val="0"/>
          <w:spacing w:val="0"/>
          <w:kern w:val="2"/>
          <w:szCs w:val="22"/>
        </w:rPr>
      </w:pPr>
      <w:r w:rsidRPr="00665CB8">
        <w:rPr>
          <w:bCs w:val="0"/>
          <w:spacing w:val="0"/>
          <w:kern w:val="2"/>
          <w:szCs w:val="22"/>
        </w:rPr>
        <w:t>Stop, these have been deemed inherently, or per se, anti-competitive.</w:t>
      </w:r>
    </w:p>
    <w:p w:rsidR="00F91DBA" w:rsidRPr="00665CB8" w:rsidRDefault="00F91DBA" w:rsidP="00F91DBA">
      <w:pPr>
        <w:jc w:val="both"/>
        <w:rPr>
          <w:bCs w:val="0"/>
          <w:spacing w:val="0"/>
          <w:kern w:val="2"/>
          <w:szCs w:val="22"/>
        </w:rPr>
      </w:pPr>
    </w:p>
    <w:p w:rsidR="00F91DBA" w:rsidRPr="00665CB8" w:rsidRDefault="00F91DBA" w:rsidP="00F91DBA">
      <w:pPr>
        <w:numPr>
          <w:ilvl w:val="0"/>
          <w:numId w:val="2"/>
        </w:numPr>
        <w:contextualSpacing/>
        <w:jc w:val="both"/>
        <w:rPr>
          <w:bCs w:val="0"/>
          <w:spacing w:val="0"/>
          <w:kern w:val="2"/>
          <w:szCs w:val="22"/>
        </w:rPr>
      </w:pPr>
      <w:r w:rsidRPr="00665CB8">
        <w:rPr>
          <w:bCs w:val="0"/>
          <w:spacing w:val="0"/>
          <w:kern w:val="2"/>
          <w:szCs w:val="22"/>
        </w:rPr>
        <w:t>Does the arrangement involve a merger, consolidation, joint venture, or other collaborative agreement?</w:t>
      </w:r>
      <w:bookmarkStart w:id="0" w:name="_GoBack"/>
      <w:bookmarkEnd w:id="0"/>
    </w:p>
    <w:p w:rsidR="00F91DBA" w:rsidRPr="00665CB8" w:rsidRDefault="00F91DBA" w:rsidP="009C0C16">
      <w:pPr>
        <w:numPr>
          <w:ilvl w:val="1"/>
          <w:numId w:val="2"/>
        </w:numPr>
        <w:ind w:left="1080"/>
        <w:contextualSpacing/>
        <w:jc w:val="both"/>
        <w:rPr>
          <w:bCs w:val="0"/>
          <w:spacing w:val="0"/>
          <w:kern w:val="2"/>
          <w:szCs w:val="22"/>
        </w:rPr>
      </w:pPr>
      <w:r w:rsidRPr="00665CB8">
        <w:rPr>
          <w:bCs w:val="0"/>
          <w:spacing w:val="0"/>
          <w:kern w:val="2"/>
          <w:szCs w:val="22"/>
        </w:rPr>
        <w:t>If so, these are analyzed under a fact-based “rule of reason” test and generally fall within a gray area.</w:t>
      </w:r>
      <w:r w:rsidR="00085E24" w:rsidRPr="00665CB8">
        <w:rPr>
          <w:bCs w:val="0"/>
          <w:spacing w:val="0"/>
          <w:kern w:val="2"/>
          <w:szCs w:val="22"/>
        </w:rPr>
        <w:t xml:space="preserve"> </w:t>
      </w:r>
      <w:r w:rsidRPr="00665CB8">
        <w:rPr>
          <w:bCs w:val="0"/>
          <w:spacing w:val="0"/>
          <w:kern w:val="2"/>
          <w:szCs w:val="22"/>
        </w:rPr>
        <w:t>They could possibly constitute an antitrust violation, but require further analysis.</w:t>
      </w:r>
    </w:p>
    <w:p w:rsidR="00F91DBA" w:rsidRPr="00665CB8" w:rsidRDefault="00F91DBA" w:rsidP="009C0C16">
      <w:pPr>
        <w:numPr>
          <w:ilvl w:val="2"/>
          <w:numId w:val="2"/>
        </w:numPr>
        <w:ind w:left="1440"/>
        <w:contextualSpacing/>
        <w:jc w:val="both"/>
        <w:rPr>
          <w:bCs w:val="0"/>
          <w:spacing w:val="0"/>
          <w:kern w:val="2"/>
          <w:szCs w:val="22"/>
        </w:rPr>
      </w:pPr>
      <w:r w:rsidRPr="00665CB8">
        <w:rPr>
          <w:bCs w:val="0"/>
          <w:spacing w:val="0"/>
          <w:kern w:val="2"/>
          <w:szCs w:val="22"/>
        </w:rPr>
        <w:t>What are the underlying business purposes?</w:t>
      </w:r>
    </w:p>
    <w:p w:rsidR="00F91DBA" w:rsidRPr="00665CB8" w:rsidRDefault="00F91DBA" w:rsidP="009C0C16">
      <w:pPr>
        <w:numPr>
          <w:ilvl w:val="2"/>
          <w:numId w:val="2"/>
        </w:numPr>
        <w:ind w:left="1440"/>
        <w:contextualSpacing/>
        <w:jc w:val="both"/>
        <w:rPr>
          <w:bCs w:val="0"/>
          <w:spacing w:val="0"/>
          <w:kern w:val="2"/>
          <w:szCs w:val="22"/>
        </w:rPr>
      </w:pPr>
      <w:r w:rsidRPr="00665CB8">
        <w:rPr>
          <w:bCs w:val="0"/>
          <w:spacing w:val="0"/>
          <w:kern w:val="2"/>
          <w:szCs w:val="22"/>
        </w:rPr>
        <w:t xml:space="preserve">What, if any, anti-competitive harm and pro-competitive benefits could result? </w:t>
      </w:r>
    </w:p>
    <w:p w:rsidR="006C573D" w:rsidRPr="00665CB8" w:rsidRDefault="006C573D" w:rsidP="00F91DBA">
      <w:pPr>
        <w:jc w:val="both"/>
        <w:rPr>
          <w:b/>
          <w:bCs w:val="0"/>
          <w:spacing w:val="0"/>
          <w:kern w:val="2"/>
          <w:szCs w:val="22"/>
        </w:rPr>
      </w:pPr>
    </w:p>
    <w:p w:rsidR="00F91DBA" w:rsidRPr="00665CB8" w:rsidRDefault="00F91DBA" w:rsidP="00F91DBA">
      <w:pPr>
        <w:jc w:val="both"/>
        <w:rPr>
          <w:b/>
          <w:bCs w:val="0"/>
          <w:spacing w:val="0"/>
          <w:kern w:val="2"/>
          <w:szCs w:val="22"/>
        </w:rPr>
      </w:pPr>
      <w:r w:rsidRPr="00665CB8">
        <w:rPr>
          <w:b/>
          <w:bCs w:val="0"/>
          <w:spacing w:val="0"/>
          <w:kern w:val="2"/>
          <w:szCs w:val="22"/>
        </w:rPr>
        <w:t>Integrated Provider Safety Zone</w:t>
      </w:r>
    </w:p>
    <w:p w:rsidR="00F91DBA" w:rsidRPr="00665CB8" w:rsidRDefault="00F91DBA" w:rsidP="00F91DBA">
      <w:pPr>
        <w:jc w:val="both"/>
        <w:rPr>
          <w:bCs w:val="0"/>
          <w:spacing w:val="0"/>
          <w:kern w:val="2"/>
          <w:szCs w:val="22"/>
        </w:rPr>
      </w:pPr>
    </w:p>
    <w:p w:rsidR="00F91DBA" w:rsidRPr="00665CB8" w:rsidRDefault="00F91DBA" w:rsidP="00F91DBA">
      <w:pPr>
        <w:numPr>
          <w:ilvl w:val="0"/>
          <w:numId w:val="4"/>
        </w:numPr>
        <w:contextualSpacing/>
        <w:jc w:val="both"/>
        <w:rPr>
          <w:bCs w:val="0"/>
          <w:spacing w:val="0"/>
          <w:kern w:val="2"/>
          <w:szCs w:val="22"/>
        </w:rPr>
      </w:pPr>
      <w:r w:rsidRPr="00665CB8">
        <w:rPr>
          <w:bCs w:val="0"/>
          <w:spacing w:val="0"/>
          <w:kern w:val="2"/>
          <w:szCs w:val="22"/>
        </w:rPr>
        <w:t>Does the arrangement involve a joint venture by providers to form an integrated provider network?</w:t>
      </w:r>
    </w:p>
    <w:p w:rsidR="00F91DBA" w:rsidRPr="00665CB8" w:rsidRDefault="00F91DBA" w:rsidP="00F91DBA">
      <w:pPr>
        <w:jc w:val="both"/>
        <w:rPr>
          <w:bCs w:val="0"/>
          <w:spacing w:val="0"/>
          <w:kern w:val="2"/>
          <w:szCs w:val="22"/>
        </w:rPr>
      </w:pPr>
    </w:p>
    <w:p w:rsidR="00F91DBA" w:rsidRPr="00665CB8" w:rsidRDefault="00F91DBA" w:rsidP="00F91DBA">
      <w:pPr>
        <w:numPr>
          <w:ilvl w:val="0"/>
          <w:numId w:val="3"/>
        </w:numPr>
        <w:contextualSpacing/>
        <w:jc w:val="both"/>
        <w:rPr>
          <w:bCs w:val="0"/>
          <w:spacing w:val="0"/>
          <w:kern w:val="2"/>
        </w:rPr>
      </w:pPr>
      <w:r w:rsidRPr="00665CB8">
        <w:rPr>
          <w:bCs w:val="0"/>
          <w:spacing w:val="0"/>
          <w:kern w:val="2"/>
          <w:szCs w:val="22"/>
        </w:rPr>
        <w:t>Are participants in the network sufficiently financially integrated?</w:t>
      </w:r>
    </w:p>
    <w:p w:rsidR="00F91DBA" w:rsidRPr="00665CB8" w:rsidRDefault="00F91DBA" w:rsidP="009C0C16">
      <w:pPr>
        <w:numPr>
          <w:ilvl w:val="1"/>
          <w:numId w:val="3"/>
        </w:numPr>
        <w:ind w:left="1080"/>
        <w:contextualSpacing/>
        <w:jc w:val="both"/>
        <w:rPr>
          <w:bCs w:val="0"/>
          <w:spacing w:val="0"/>
          <w:kern w:val="2"/>
        </w:rPr>
      </w:pPr>
      <w:r w:rsidRPr="00665CB8">
        <w:rPr>
          <w:bCs w:val="0"/>
          <w:spacing w:val="0"/>
          <w:kern w:val="2"/>
        </w:rPr>
        <w:t>Do participants (meaning the network and its provider members) share “substantial financial risk”? (E.g., capitation payments, global fee arrangements, fee withholds, cost or utilization-based bonuses or penalties, or other indicia of financial integration?)</w:t>
      </w:r>
    </w:p>
    <w:p w:rsidR="00F91DBA" w:rsidRPr="00665CB8" w:rsidRDefault="00F91DBA" w:rsidP="009C0C16">
      <w:pPr>
        <w:numPr>
          <w:ilvl w:val="1"/>
          <w:numId w:val="3"/>
        </w:numPr>
        <w:ind w:left="1080"/>
        <w:contextualSpacing/>
        <w:jc w:val="both"/>
        <w:rPr>
          <w:bCs w:val="0"/>
          <w:spacing w:val="0"/>
          <w:kern w:val="2"/>
        </w:rPr>
      </w:pPr>
      <w:r w:rsidRPr="00665CB8">
        <w:rPr>
          <w:bCs w:val="0"/>
          <w:spacing w:val="0"/>
          <w:kern w:val="2"/>
        </w:rPr>
        <w:t>If the network is non-exclusive does no more than thirty percent (30%) of the primary care or specialty physicians who practice in the relevant geographic market participate in the network?</w:t>
      </w:r>
    </w:p>
    <w:p w:rsidR="006C573D" w:rsidRDefault="00F91DBA" w:rsidP="009C0C16">
      <w:pPr>
        <w:numPr>
          <w:ilvl w:val="1"/>
          <w:numId w:val="3"/>
        </w:numPr>
        <w:ind w:left="1080"/>
        <w:contextualSpacing/>
        <w:jc w:val="both"/>
        <w:rPr>
          <w:bCs w:val="0"/>
          <w:spacing w:val="0"/>
          <w:kern w:val="2"/>
          <w:szCs w:val="22"/>
        </w:rPr>
      </w:pPr>
      <w:r w:rsidRPr="00665CB8">
        <w:rPr>
          <w:bCs w:val="0"/>
          <w:spacing w:val="0"/>
          <w:kern w:val="2"/>
        </w:rPr>
        <w:t>If the network is exclusive, do no more than twenty percent (20%) of primary care or specialty physicians for the relevant geographic market participate in the network?</w:t>
      </w:r>
      <w:r w:rsidR="00E80717" w:rsidRPr="00665CB8">
        <w:rPr>
          <w:bCs w:val="0"/>
          <w:spacing w:val="0"/>
          <w:kern w:val="2"/>
          <w:szCs w:val="22"/>
        </w:rPr>
        <w:t xml:space="preserve"> </w:t>
      </w:r>
    </w:p>
    <w:p w:rsidR="00B66A91" w:rsidRDefault="00B66A91">
      <w:pPr>
        <w:spacing w:after="200" w:line="276" w:lineRule="auto"/>
        <w:rPr>
          <w:bCs w:val="0"/>
          <w:spacing w:val="0"/>
          <w:kern w:val="2"/>
          <w:szCs w:val="22"/>
        </w:rPr>
      </w:pPr>
      <w:r>
        <w:rPr>
          <w:bCs w:val="0"/>
          <w:spacing w:val="0"/>
          <w:kern w:val="2"/>
          <w:szCs w:val="22"/>
        </w:rPr>
        <w:br w:type="page"/>
      </w:r>
    </w:p>
    <w:p w:rsidR="00F91DBA" w:rsidRPr="00665CB8" w:rsidRDefault="00F91DBA" w:rsidP="00F91DBA">
      <w:pPr>
        <w:numPr>
          <w:ilvl w:val="0"/>
          <w:numId w:val="3"/>
        </w:numPr>
        <w:contextualSpacing/>
        <w:jc w:val="both"/>
        <w:rPr>
          <w:bCs w:val="0"/>
          <w:spacing w:val="0"/>
          <w:kern w:val="2"/>
        </w:rPr>
      </w:pPr>
      <w:r w:rsidRPr="00665CB8">
        <w:rPr>
          <w:bCs w:val="0"/>
          <w:spacing w:val="0"/>
          <w:kern w:val="2"/>
          <w:szCs w:val="22"/>
        </w:rPr>
        <w:lastRenderedPageBreak/>
        <w:t>Can the network</w:t>
      </w:r>
      <w:r w:rsidRPr="00665CB8">
        <w:rPr>
          <w:bCs w:val="0"/>
          <w:spacing w:val="0"/>
          <w:kern w:val="2"/>
        </w:rPr>
        <w:t xml:space="preserve"> demonstrate sufficient clinical integration?</w:t>
      </w:r>
    </w:p>
    <w:p w:rsidR="00F91DBA" w:rsidRPr="00665CB8" w:rsidRDefault="00F91DBA" w:rsidP="00F91DBA">
      <w:pPr>
        <w:numPr>
          <w:ilvl w:val="0"/>
          <w:numId w:val="5"/>
        </w:numPr>
        <w:contextualSpacing/>
        <w:jc w:val="both"/>
        <w:rPr>
          <w:bCs w:val="0"/>
          <w:spacing w:val="0"/>
          <w:kern w:val="2"/>
        </w:rPr>
      </w:pPr>
      <w:r w:rsidRPr="00665CB8">
        <w:rPr>
          <w:bCs w:val="0"/>
          <w:spacing w:val="0"/>
          <w:kern w:val="2"/>
        </w:rPr>
        <w:t>Has the network implemented an active and ongoing program to evaluate and, as necessary, modify the practice patterns of the participating providers, thereby creating a high degree of interdependence and cooperation to control costs and ensure quality?</w:t>
      </w:r>
    </w:p>
    <w:p w:rsidR="00F91DBA" w:rsidRPr="00665CB8" w:rsidRDefault="00F91DBA" w:rsidP="00F91DBA">
      <w:pPr>
        <w:numPr>
          <w:ilvl w:val="0"/>
          <w:numId w:val="5"/>
        </w:numPr>
        <w:contextualSpacing/>
        <w:jc w:val="both"/>
        <w:rPr>
          <w:bCs w:val="0"/>
          <w:spacing w:val="0"/>
          <w:kern w:val="2"/>
        </w:rPr>
      </w:pPr>
      <w:r w:rsidRPr="00665CB8">
        <w:rPr>
          <w:bCs w:val="0"/>
          <w:spacing w:val="0"/>
          <w:kern w:val="2"/>
        </w:rPr>
        <w:t>Does the network have common information technology</w:t>
      </w:r>
      <w:r w:rsidR="00EE62A9" w:rsidRPr="00665CB8">
        <w:rPr>
          <w:bCs w:val="0"/>
          <w:spacing w:val="0"/>
          <w:kern w:val="2"/>
        </w:rPr>
        <w:t xml:space="preserve"> (</w:t>
      </w:r>
      <w:r w:rsidRPr="00665CB8">
        <w:rPr>
          <w:bCs w:val="0"/>
          <w:spacing w:val="0"/>
          <w:kern w:val="2"/>
        </w:rPr>
        <w:t>including medical records</w:t>
      </w:r>
      <w:r w:rsidR="00EE62A9" w:rsidRPr="00665CB8">
        <w:rPr>
          <w:bCs w:val="0"/>
          <w:spacing w:val="0"/>
          <w:kern w:val="2"/>
        </w:rPr>
        <w:t>)</w:t>
      </w:r>
      <w:r w:rsidRPr="00665CB8">
        <w:rPr>
          <w:bCs w:val="0"/>
          <w:spacing w:val="0"/>
          <w:kern w:val="2"/>
        </w:rPr>
        <w:t>, employ centralized staff, and share practice standards</w:t>
      </w:r>
      <w:r w:rsidR="00EE62A9" w:rsidRPr="00665CB8">
        <w:rPr>
          <w:bCs w:val="0"/>
          <w:spacing w:val="0"/>
          <w:kern w:val="2"/>
        </w:rPr>
        <w:t xml:space="preserve">, </w:t>
      </w:r>
      <w:r w:rsidRPr="00665CB8">
        <w:rPr>
          <w:bCs w:val="0"/>
          <w:spacing w:val="0"/>
          <w:kern w:val="2"/>
        </w:rPr>
        <w:t>protocols, and care management protocols?</w:t>
      </w:r>
    </w:p>
    <w:p w:rsidR="00F91DBA" w:rsidRPr="00665CB8" w:rsidRDefault="00F91DBA" w:rsidP="00F91DBA">
      <w:pPr>
        <w:numPr>
          <w:ilvl w:val="0"/>
          <w:numId w:val="5"/>
        </w:numPr>
        <w:contextualSpacing/>
        <w:jc w:val="both"/>
        <w:rPr>
          <w:bCs w:val="0"/>
          <w:spacing w:val="0"/>
          <w:kern w:val="2"/>
        </w:rPr>
      </w:pPr>
      <w:r w:rsidRPr="00665CB8">
        <w:rPr>
          <w:bCs w:val="0"/>
          <w:spacing w:val="0"/>
          <w:kern w:val="2"/>
        </w:rPr>
        <w:t>Does the network have cost and quality control mechanisms, shared information-gathering systems for performance review, and shared monitoring of patient satisfaction with the participating providers?</w:t>
      </w:r>
    </w:p>
    <w:p w:rsidR="006C573D" w:rsidRPr="00665CB8" w:rsidRDefault="006C573D" w:rsidP="00F91DBA">
      <w:pPr>
        <w:jc w:val="both"/>
        <w:rPr>
          <w:b/>
          <w:bCs w:val="0"/>
          <w:spacing w:val="0"/>
          <w:kern w:val="2"/>
        </w:rPr>
      </w:pPr>
    </w:p>
    <w:p w:rsidR="00F91DBA" w:rsidRPr="00665CB8" w:rsidRDefault="00F91DBA" w:rsidP="00F91DBA">
      <w:pPr>
        <w:jc w:val="both"/>
        <w:rPr>
          <w:b/>
          <w:bCs w:val="0"/>
          <w:spacing w:val="0"/>
          <w:kern w:val="2"/>
        </w:rPr>
      </w:pPr>
      <w:proofErr w:type="gramStart"/>
      <w:r w:rsidRPr="00665CB8">
        <w:rPr>
          <w:b/>
          <w:bCs w:val="0"/>
          <w:spacing w:val="0"/>
          <w:kern w:val="2"/>
        </w:rPr>
        <w:t>Accountable</w:t>
      </w:r>
      <w:proofErr w:type="gramEnd"/>
      <w:r w:rsidRPr="00665CB8">
        <w:rPr>
          <w:b/>
          <w:bCs w:val="0"/>
          <w:spacing w:val="0"/>
          <w:kern w:val="2"/>
        </w:rPr>
        <w:t xml:space="preserve"> Care Organization Safety Zone</w:t>
      </w:r>
    </w:p>
    <w:p w:rsidR="00F91DBA" w:rsidRPr="00665CB8" w:rsidRDefault="00F91DBA" w:rsidP="00F91DBA">
      <w:pPr>
        <w:jc w:val="both"/>
        <w:rPr>
          <w:bCs w:val="0"/>
          <w:spacing w:val="0"/>
          <w:kern w:val="2"/>
        </w:rPr>
      </w:pPr>
    </w:p>
    <w:p w:rsidR="00F91DBA" w:rsidRPr="00665CB8" w:rsidRDefault="00F91DBA" w:rsidP="00F91DBA">
      <w:pPr>
        <w:numPr>
          <w:ilvl w:val="0"/>
          <w:numId w:val="6"/>
        </w:numPr>
        <w:contextualSpacing/>
        <w:jc w:val="both"/>
        <w:rPr>
          <w:bCs w:val="0"/>
          <w:spacing w:val="0"/>
          <w:kern w:val="2"/>
        </w:rPr>
      </w:pPr>
      <w:r w:rsidRPr="00665CB8">
        <w:rPr>
          <w:bCs w:val="0"/>
          <w:spacing w:val="0"/>
          <w:kern w:val="2"/>
        </w:rPr>
        <w:t xml:space="preserve">Do independent </w:t>
      </w:r>
      <w:proofErr w:type="spellStart"/>
      <w:r w:rsidRPr="00665CB8">
        <w:rPr>
          <w:bCs w:val="0"/>
          <w:spacing w:val="0"/>
          <w:kern w:val="2"/>
        </w:rPr>
        <w:t>ACO</w:t>
      </w:r>
      <w:proofErr w:type="spellEnd"/>
      <w:r w:rsidRPr="00665CB8">
        <w:rPr>
          <w:bCs w:val="0"/>
          <w:spacing w:val="0"/>
          <w:kern w:val="2"/>
        </w:rPr>
        <w:t xml:space="preserve"> participants (for example physician group practices) </w:t>
      </w:r>
      <w:r w:rsidR="001A4A12">
        <w:rPr>
          <w:bCs w:val="0"/>
          <w:spacing w:val="0"/>
          <w:kern w:val="2"/>
        </w:rPr>
        <w:t>that provide the same service (“</w:t>
      </w:r>
      <w:r w:rsidRPr="00665CB8">
        <w:rPr>
          <w:bCs w:val="0"/>
          <w:spacing w:val="0"/>
          <w:kern w:val="2"/>
        </w:rPr>
        <w:t>common service</w:t>
      </w:r>
      <w:r w:rsidR="001A4A12">
        <w:rPr>
          <w:bCs w:val="0"/>
          <w:spacing w:val="0"/>
          <w:kern w:val="2"/>
        </w:rPr>
        <w:t>”</w:t>
      </w:r>
      <w:r w:rsidRPr="00665CB8">
        <w:rPr>
          <w:bCs w:val="0"/>
          <w:spacing w:val="0"/>
          <w:kern w:val="2"/>
        </w:rPr>
        <w:t>) have a combined share of 30% or less of each common service in each parti</w:t>
      </w:r>
      <w:r w:rsidR="001A4A12">
        <w:rPr>
          <w:bCs w:val="0"/>
          <w:spacing w:val="0"/>
          <w:kern w:val="2"/>
        </w:rPr>
        <w:t>cipant's primary service area (“</w:t>
      </w:r>
      <w:r w:rsidRPr="00665CB8">
        <w:rPr>
          <w:bCs w:val="0"/>
          <w:spacing w:val="0"/>
          <w:kern w:val="2"/>
        </w:rPr>
        <w:t>PSA</w:t>
      </w:r>
      <w:r w:rsidR="001A4A12">
        <w:rPr>
          <w:bCs w:val="0"/>
          <w:spacing w:val="0"/>
          <w:kern w:val="2"/>
        </w:rPr>
        <w:t>”</w:t>
      </w:r>
      <w:r w:rsidRPr="00665CB8">
        <w:rPr>
          <w:bCs w:val="0"/>
          <w:spacing w:val="0"/>
          <w:kern w:val="2"/>
        </w:rPr>
        <w:t xml:space="preserve">) wherever two or more </w:t>
      </w:r>
      <w:proofErr w:type="spellStart"/>
      <w:r w:rsidRPr="00665CB8">
        <w:rPr>
          <w:bCs w:val="0"/>
          <w:spacing w:val="0"/>
          <w:kern w:val="2"/>
        </w:rPr>
        <w:t>ACO</w:t>
      </w:r>
      <w:proofErr w:type="spellEnd"/>
      <w:r w:rsidRPr="00665CB8">
        <w:rPr>
          <w:bCs w:val="0"/>
          <w:spacing w:val="0"/>
          <w:kern w:val="2"/>
        </w:rPr>
        <w:t xml:space="preserve"> participants provide that service to patients from that PSA?</w:t>
      </w:r>
    </w:p>
    <w:p w:rsidR="00E80717" w:rsidRPr="00665CB8" w:rsidRDefault="00E80717" w:rsidP="00E80717">
      <w:pPr>
        <w:ind w:left="720"/>
        <w:contextualSpacing/>
        <w:jc w:val="both"/>
        <w:rPr>
          <w:bCs w:val="0"/>
          <w:spacing w:val="0"/>
          <w:kern w:val="2"/>
        </w:rPr>
      </w:pPr>
    </w:p>
    <w:p w:rsidR="00F91DBA" w:rsidRPr="00665CB8" w:rsidRDefault="00F91DBA" w:rsidP="00F91DBA">
      <w:pPr>
        <w:numPr>
          <w:ilvl w:val="0"/>
          <w:numId w:val="6"/>
        </w:numPr>
        <w:contextualSpacing/>
        <w:jc w:val="both"/>
        <w:rPr>
          <w:bCs w:val="0"/>
          <w:spacing w:val="0"/>
          <w:kern w:val="2"/>
        </w:rPr>
      </w:pPr>
      <w:r w:rsidRPr="00665CB8">
        <w:rPr>
          <w:bCs w:val="0"/>
          <w:spacing w:val="0"/>
          <w:kern w:val="2"/>
        </w:rPr>
        <w:t xml:space="preserve">If any participant in the </w:t>
      </w:r>
      <w:proofErr w:type="spellStart"/>
      <w:r w:rsidRPr="00665CB8">
        <w:rPr>
          <w:bCs w:val="0"/>
          <w:spacing w:val="0"/>
          <w:kern w:val="2"/>
        </w:rPr>
        <w:t>ACO</w:t>
      </w:r>
      <w:proofErr w:type="spellEnd"/>
      <w:r w:rsidRPr="00665CB8">
        <w:rPr>
          <w:bCs w:val="0"/>
          <w:spacing w:val="0"/>
          <w:kern w:val="2"/>
        </w:rPr>
        <w:t xml:space="preserve"> has more than 50% market share in any PSA that no other </w:t>
      </w:r>
      <w:proofErr w:type="spellStart"/>
      <w:r w:rsidRPr="00665CB8">
        <w:rPr>
          <w:bCs w:val="0"/>
          <w:spacing w:val="0"/>
          <w:kern w:val="2"/>
        </w:rPr>
        <w:t>ACO</w:t>
      </w:r>
      <w:proofErr w:type="spellEnd"/>
      <w:r w:rsidRPr="00665CB8">
        <w:rPr>
          <w:bCs w:val="0"/>
          <w:spacing w:val="0"/>
          <w:kern w:val="2"/>
        </w:rPr>
        <w:t xml:space="preserve"> participant provides services to patients, does that participant contract with the </w:t>
      </w:r>
      <w:proofErr w:type="spellStart"/>
      <w:r w:rsidRPr="00665CB8">
        <w:rPr>
          <w:bCs w:val="0"/>
          <w:spacing w:val="0"/>
          <w:kern w:val="2"/>
        </w:rPr>
        <w:t>ACO</w:t>
      </w:r>
      <w:proofErr w:type="spellEnd"/>
      <w:r w:rsidRPr="00665CB8">
        <w:rPr>
          <w:bCs w:val="0"/>
          <w:spacing w:val="0"/>
          <w:kern w:val="2"/>
        </w:rPr>
        <w:t xml:space="preserve"> on a non-exclusive basis?</w:t>
      </w:r>
    </w:p>
    <w:p w:rsidR="00E80717" w:rsidRPr="00665CB8" w:rsidRDefault="00E80717" w:rsidP="00E80717">
      <w:pPr>
        <w:ind w:left="720"/>
        <w:contextualSpacing/>
        <w:jc w:val="both"/>
        <w:rPr>
          <w:bCs w:val="0"/>
          <w:spacing w:val="0"/>
          <w:kern w:val="2"/>
        </w:rPr>
      </w:pPr>
    </w:p>
    <w:p w:rsidR="00F91DBA" w:rsidRPr="00665CB8" w:rsidRDefault="00F91DBA" w:rsidP="00F91DBA">
      <w:pPr>
        <w:numPr>
          <w:ilvl w:val="0"/>
          <w:numId w:val="6"/>
        </w:numPr>
        <w:contextualSpacing/>
        <w:jc w:val="both"/>
        <w:rPr>
          <w:bCs w:val="0"/>
          <w:spacing w:val="0"/>
          <w:kern w:val="2"/>
        </w:rPr>
      </w:pPr>
      <w:r w:rsidRPr="00665CB8">
        <w:rPr>
          <w:bCs w:val="0"/>
          <w:spacing w:val="0"/>
          <w:kern w:val="2"/>
        </w:rPr>
        <w:t xml:space="preserve">If the </w:t>
      </w:r>
      <w:proofErr w:type="spellStart"/>
      <w:r w:rsidRPr="00665CB8">
        <w:rPr>
          <w:bCs w:val="0"/>
          <w:spacing w:val="0"/>
          <w:kern w:val="2"/>
        </w:rPr>
        <w:t>ACO</w:t>
      </w:r>
      <w:proofErr w:type="spellEnd"/>
      <w:r w:rsidRPr="00665CB8">
        <w:rPr>
          <w:bCs w:val="0"/>
          <w:spacing w:val="0"/>
          <w:kern w:val="2"/>
        </w:rPr>
        <w:t xml:space="preserve"> exceeds the 30% PSA does the </w:t>
      </w:r>
      <w:proofErr w:type="spellStart"/>
      <w:r w:rsidRPr="00665CB8">
        <w:rPr>
          <w:bCs w:val="0"/>
          <w:spacing w:val="0"/>
          <w:kern w:val="2"/>
        </w:rPr>
        <w:t>ACO</w:t>
      </w:r>
      <w:proofErr w:type="spellEnd"/>
      <w:r w:rsidRPr="00665CB8">
        <w:rPr>
          <w:bCs w:val="0"/>
          <w:spacing w:val="0"/>
          <w:kern w:val="2"/>
        </w:rPr>
        <w:t xml:space="preserve"> include one physician or physician group per specialty, on a non-exclusive basis, and is the physician or physician group’s primary office classified as “isolated rural” or “other small rural”?</w:t>
      </w:r>
    </w:p>
    <w:p w:rsidR="00F91DBA" w:rsidRPr="00665CB8" w:rsidRDefault="00F91DBA" w:rsidP="00F91DBA">
      <w:pPr>
        <w:widowControl w:val="0"/>
        <w:jc w:val="both"/>
        <w:rPr>
          <w:b/>
          <w:iCs/>
          <w:spacing w:val="0"/>
          <w:kern w:val="2"/>
        </w:rPr>
      </w:pPr>
    </w:p>
    <w:p w:rsidR="00F91DBA" w:rsidRPr="00665CB8" w:rsidRDefault="00F91DBA" w:rsidP="00F91DBA">
      <w:pPr>
        <w:jc w:val="both"/>
        <w:rPr>
          <w:b/>
          <w:bCs w:val="0"/>
          <w:spacing w:val="0"/>
          <w:kern w:val="2"/>
          <w:sz w:val="28"/>
        </w:rPr>
      </w:pPr>
      <w:r w:rsidRPr="00665CB8">
        <w:rPr>
          <w:b/>
          <w:bCs w:val="0"/>
          <w:spacing w:val="0"/>
          <w:kern w:val="2"/>
        </w:rPr>
        <w:t>No</w:t>
      </w:r>
      <w:r w:rsidR="001A4A12">
        <w:rPr>
          <w:b/>
          <w:bCs w:val="0"/>
          <w:spacing w:val="0"/>
          <w:kern w:val="2"/>
        </w:rPr>
        <w:t>n-Integrated Provider Networks/</w:t>
      </w:r>
      <w:r w:rsidRPr="00665CB8">
        <w:rPr>
          <w:b/>
          <w:bCs w:val="0"/>
          <w:spacing w:val="0"/>
          <w:kern w:val="2"/>
        </w:rPr>
        <w:t xml:space="preserve">Messenger Model </w:t>
      </w:r>
    </w:p>
    <w:p w:rsidR="00F91DBA" w:rsidRPr="00665CB8" w:rsidRDefault="00F91DBA" w:rsidP="00F91DBA">
      <w:pPr>
        <w:jc w:val="both"/>
        <w:rPr>
          <w:bCs w:val="0"/>
          <w:spacing w:val="0"/>
          <w:kern w:val="2"/>
        </w:rPr>
      </w:pPr>
    </w:p>
    <w:p w:rsidR="00F91DBA" w:rsidRPr="00665CB8" w:rsidRDefault="00F91DBA" w:rsidP="00F91DBA">
      <w:pPr>
        <w:numPr>
          <w:ilvl w:val="0"/>
          <w:numId w:val="7"/>
        </w:numPr>
        <w:contextualSpacing/>
        <w:jc w:val="both"/>
        <w:rPr>
          <w:bCs w:val="0"/>
          <w:spacing w:val="0"/>
          <w:kern w:val="2"/>
        </w:rPr>
      </w:pPr>
      <w:r w:rsidRPr="00665CB8">
        <w:rPr>
          <w:bCs w:val="0"/>
          <w:spacing w:val="0"/>
          <w:kern w:val="2"/>
        </w:rPr>
        <w:t>Do individual health centers make independent, unilateral decisions regarding acceptance or rejection of contractual terms (including, but not limited to, fee schedules) offered by a third party?</w:t>
      </w:r>
    </w:p>
    <w:p w:rsidR="00E80717" w:rsidRPr="00665CB8" w:rsidRDefault="00E80717" w:rsidP="00E80717">
      <w:pPr>
        <w:ind w:left="720"/>
        <w:contextualSpacing/>
        <w:jc w:val="both"/>
        <w:rPr>
          <w:bCs w:val="0"/>
          <w:spacing w:val="0"/>
          <w:kern w:val="2"/>
        </w:rPr>
      </w:pPr>
    </w:p>
    <w:p w:rsidR="00F91DBA" w:rsidRPr="00665CB8" w:rsidRDefault="00F91DBA" w:rsidP="00F91DBA">
      <w:pPr>
        <w:numPr>
          <w:ilvl w:val="0"/>
          <w:numId w:val="7"/>
        </w:numPr>
        <w:contextualSpacing/>
        <w:jc w:val="both"/>
        <w:rPr>
          <w:bCs w:val="0"/>
          <w:spacing w:val="0"/>
          <w:kern w:val="2"/>
        </w:rPr>
      </w:pPr>
      <w:r w:rsidRPr="00665CB8">
        <w:rPr>
          <w:bCs w:val="0"/>
          <w:spacing w:val="0"/>
          <w:kern w:val="2"/>
        </w:rPr>
        <w:t>Do individual health centers remain free to conduct negotiations independent of the messenger (non-exclusivity)?</w:t>
      </w:r>
    </w:p>
    <w:p w:rsidR="006C573D" w:rsidRPr="00665CB8" w:rsidRDefault="006C573D" w:rsidP="00F91DBA">
      <w:pPr>
        <w:rPr>
          <w:rFonts w:eastAsiaTheme="minorHAnsi"/>
          <w:b/>
          <w:bCs w:val="0"/>
          <w:spacing w:val="0"/>
          <w:kern w:val="2"/>
          <w:szCs w:val="22"/>
        </w:rPr>
      </w:pPr>
    </w:p>
    <w:p w:rsidR="009E41DF" w:rsidRPr="00665CB8" w:rsidRDefault="009E41DF" w:rsidP="00E80717">
      <w:pPr>
        <w:spacing w:after="200" w:line="276" w:lineRule="auto"/>
        <w:rPr>
          <w:rFonts w:eastAsiaTheme="minorHAnsi"/>
          <w:b/>
          <w:bCs w:val="0"/>
          <w:spacing w:val="0"/>
          <w:kern w:val="2"/>
          <w:szCs w:val="22"/>
        </w:rPr>
      </w:pPr>
      <w:r w:rsidRPr="00665CB8">
        <w:rPr>
          <w:rFonts w:eastAsiaTheme="minorHAnsi"/>
          <w:b/>
          <w:bCs w:val="0"/>
          <w:spacing w:val="0"/>
          <w:kern w:val="2"/>
          <w:szCs w:val="22"/>
        </w:rPr>
        <w:t>Exchanging Price and Cost Information</w:t>
      </w:r>
    </w:p>
    <w:p w:rsidR="009E41DF" w:rsidRPr="00665CB8" w:rsidRDefault="009E41DF" w:rsidP="009E41DF">
      <w:pPr>
        <w:pStyle w:val="ListParagraph"/>
        <w:numPr>
          <w:ilvl w:val="0"/>
          <w:numId w:val="9"/>
        </w:numPr>
        <w:jc w:val="both"/>
        <w:rPr>
          <w:spacing w:val="0"/>
          <w:kern w:val="2"/>
        </w:rPr>
      </w:pPr>
      <w:r w:rsidRPr="00665CB8">
        <w:rPr>
          <w:spacing w:val="0"/>
          <w:kern w:val="2"/>
        </w:rPr>
        <w:t>Is the survey managed by a third-party (</w:t>
      </w:r>
      <w:r w:rsidRPr="00665CB8">
        <w:rPr>
          <w:i/>
          <w:spacing w:val="0"/>
          <w:kern w:val="2"/>
        </w:rPr>
        <w:t>e.g.</w:t>
      </w:r>
      <w:r w:rsidRPr="00665CB8">
        <w:rPr>
          <w:spacing w:val="0"/>
          <w:kern w:val="2"/>
        </w:rPr>
        <w:t>, a purchaser, government agency, health care consultant, academic institution, or trade association)?</w:t>
      </w:r>
    </w:p>
    <w:p w:rsidR="00E80717" w:rsidRPr="00665CB8" w:rsidRDefault="00E80717" w:rsidP="00E80717">
      <w:pPr>
        <w:pStyle w:val="ListParagraph"/>
        <w:jc w:val="both"/>
        <w:rPr>
          <w:spacing w:val="0"/>
          <w:kern w:val="2"/>
        </w:rPr>
      </w:pPr>
    </w:p>
    <w:p w:rsidR="009E41DF" w:rsidRPr="00665CB8" w:rsidRDefault="009E41DF" w:rsidP="009E41DF">
      <w:pPr>
        <w:pStyle w:val="ListParagraph"/>
        <w:numPr>
          <w:ilvl w:val="0"/>
          <w:numId w:val="9"/>
        </w:numPr>
        <w:jc w:val="both"/>
        <w:rPr>
          <w:spacing w:val="0"/>
          <w:kern w:val="2"/>
        </w:rPr>
      </w:pPr>
      <w:r w:rsidRPr="00665CB8">
        <w:rPr>
          <w:spacing w:val="0"/>
          <w:kern w:val="2"/>
        </w:rPr>
        <w:t>Is the information provided by the survey participants based on data more than three months old?</w:t>
      </w:r>
    </w:p>
    <w:p w:rsidR="00E80717" w:rsidRPr="00665CB8" w:rsidRDefault="00E80717" w:rsidP="00E80717">
      <w:pPr>
        <w:pStyle w:val="ListParagraph"/>
        <w:jc w:val="both"/>
        <w:rPr>
          <w:spacing w:val="0"/>
          <w:kern w:val="2"/>
        </w:rPr>
      </w:pPr>
    </w:p>
    <w:p w:rsidR="0000738F" w:rsidRPr="009C0C16" w:rsidRDefault="009E41DF" w:rsidP="00F91DBA">
      <w:pPr>
        <w:pStyle w:val="ListParagraph"/>
        <w:numPr>
          <w:ilvl w:val="0"/>
          <w:numId w:val="9"/>
        </w:numPr>
        <w:jc w:val="both"/>
        <w:rPr>
          <w:spacing w:val="0"/>
          <w:kern w:val="2"/>
        </w:rPr>
      </w:pPr>
      <w:r w:rsidRPr="00665CB8">
        <w:rPr>
          <w:spacing w:val="0"/>
          <w:kern w:val="2"/>
        </w:rPr>
        <w:lastRenderedPageBreak/>
        <w:t>Are there are at least five providers reporting data upon which each disseminated statistic is based, such that no individual provider’s data represents more than 25 percent on a weighted basis of that statistic, and any information disseminated is sufficiently aggregated such that it would not allow recipients to identify the prices charged or compensation paid by any particular provider?</w:t>
      </w:r>
    </w:p>
    <w:sectPr w:rsidR="0000738F" w:rsidRPr="009C0C16" w:rsidSect="003D6F20">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3D" w:rsidRDefault="006C573D" w:rsidP="006C573D">
      <w:r>
        <w:separator/>
      </w:r>
    </w:p>
  </w:endnote>
  <w:endnote w:type="continuationSeparator" w:id="0">
    <w:p w:rsidR="006C573D" w:rsidRDefault="006C573D" w:rsidP="006C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D" w:rsidRDefault="006C573D" w:rsidP="006C573D">
    <w:pPr>
      <w:widowControl w:val="0"/>
      <w:pBdr>
        <w:bottom w:val="single" w:sz="12" w:space="1" w:color="auto"/>
      </w:pBdr>
      <w:autoSpaceDE w:val="0"/>
      <w:autoSpaceDN w:val="0"/>
      <w:adjustRightInd w:val="0"/>
      <w:spacing w:before="13"/>
      <w:jc w:val="center"/>
      <w:rPr>
        <w:sz w:val="20"/>
        <w:szCs w:val="20"/>
      </w:rPr>
    </w:pPr>
  </w:p>
  <w:p w:rsidR="006C573D" w:rsidRDefault="006C573D" w:rsidP="006C573D">
    <w:pPr>
      <w:widowControl w:val="0"/>
      <w:autoSpaceDE w:val="0"/>
      <w:autoSpaceDN w:val="0"/>
      <w:adjustRightInd w:val="0"/>
      <w:spacing w:before="13"/>
      <w:jc w:val="center"/>
      <w:rPr>
        <w:sz w:val="20"/>
        <w:szCs w:val="20"/>
      </w:rPr>
    </w:pPr>
  </w:p>
  <w:p w:rsidR="006C573D" w:rsidRPr="006718A7" w:rsidRDefault="006C573D" w:rsidP="006C573D">
    <w:pPr>
      <w:widowControl w:val="0"/>
      <w:autoSpaceDE w:val="0"/>
      <w:autoSpaceDN w:val="0"/>
      <w:adjustRightInd w:val="0"/>
      <w:spacing w:before="13"/>
      <w:ind w:left="1552" w:right="1533"/>
      <w:jc w:val="center"/>
      <w:rPr>
        <w:spacing w:val="0"/>
        <w:kern w:val="2"/>
        <w:sz w:val="20"/>
        <w:szCs w:val="20"/>
      </w:rPr>
    </w:pPr>
    <w:r w:rsidRPr="006718A7">
      <w:rPr>
        <w:spacing w:val="0"/>
        <w:kern w:val="2"/>
        <w:sz w:val="20"/>
        <w:szCs w:val="20"/>
      </w:rPr>
      <w:t xml:space="preserve">The </w:t>
    </w:r>
    <w:r w:rsidR="006D793F" w:rsidRPr="006718A7">
      <w:rPr>
        <w:spacing w:val="0"/>
        <w:kern w:val="2"/>
        <w:sz w:val="20"/>
        <w:szCs w:val="20"/>
      </w:rPr>
      <w:t xml:space="preserve">Corporate </w:t>
    </w:r>
    <w:r w:rsidRPr="006718A7">
      <w:rPr>
        <w:spacing w:val="0"/>
        <w:kern w:val="2"/>
        <w:sz w:val="20"/>
        <w:szCs w:val="20"/>
      </w:rPr>
      <w:t>Compliance Toolkit</w:t>
    </w:r>
    <w:r w:rsidR="006D793F" w:rsidRPr="006718A7">
      <w:rPr>
        <w:spacing w:val="0"/>
        <w:kern w:val="2"/>
        <w:sz w:val="20"/>
        <w:szCs w:val="20"/>
      </w:rPr>
      <w:t xml:space="preserve"> for PCAs-HCCNs</w:t>
    </w:r>
  </w:p>
  <w:p w:rsidR="006C573D" w:rsidRPr="006718A7" w:rsidRDefault="006C573D" w:rsidP="006C573D">
    <w:pPr>
      <w:widowControl w:val="0"/>
      <w:autoSpaceDE w:val="0"/>
      <w:autoSpaceDN w:val="0"/>
      <w:adjustRightInd w:val="0"/>
      <w:spacing w:line="209" w:lineRule="exact"/>
      <w:ind w:left="-15" w:right="-35"/>
      <w:jc w:val="center"/>
      <w:rPr>
        <w:spacing w:val="0"/>
        <w:kern w:val="2"/>
        <w:sz w:val="20"/>
        <w:szCs w:val="20"/>
      </w:rPr>
    </w:pPr>
    <w:r w:rsidRPr="006718A7">
      <w:rPr>
        <w:spacing w:val="0"/>
        <w:kern w:val="2"/>
        <w:sz w:val="20"/>
        <w:szCs w:val="20"/>
      </w:rPr>
      <w:t>©</w:t>
    </w:r>
    <w:r w:rsidR="00EE2716" w:rsidRPr="006718A7">
      <w:rPr>
        <w:spacing w:val="0"/>
        <w:kern w:val="2"/>
        <w:sz w:val="20"/>
        <w:szCs w:val="20"/>
      </w:rPr>
      <w:t xml:space="preserve"> 2015</w:t>
    </w:r>
    <w:r w:rsidRPr="006718A7">
      <w:rPr>
        <w:spacing w:val="0"/>
        <w:kern w:val="2"/>
        <w:sz w:val="20"/>
        <w:szCs w:val="20"/>
      </w:rPr>
      <w:t xml:space="preserve"> National Association of Community Health Centers, Inc.</w:t>
    </w:r>
  </w:p>
  <w:p w:rsidR="006C573D" w:rsidRPr="006718A7" w:rsidRDefault="006C573D" w:rsidP="006C573D">
    <w:pPr>
      <w:widowControl w:val="0"/>
      <w:autoSpaceDE w:val="0"/>
      <w:autoSpaceDN w:val="0"/>
      <w:adjustRightInd w:val="0"/>
      <w:ind w:left="1657" w:right="1633"/>
      <w:jc w:val="center"/>
      <w:rPr>
        <w:spacing w:val="0"/>
        <w:kern w:val="2"/>
        <w:sz w:val="20"/>
        <w:szCs w:val="20"/>
      </w:rPr>
    </w:pPr>
    <w:r w:rsidRPr="006718A7">
      <w:rPr>
        <w:spacing w:val="0"/>
        <w:kern w:val="2"/>
        <w:sz w:val="20"/>
        <w:szCs w:val="20"/>
      </w:rPr>
      <w:t xml:space="preserve">and Feldesman Tucker Leifer </w:t>
    </w:r>
    <w:proofErr w:type="spellStart"/>
    <w:r w:rsidRPr="006718A7">
      <w:rPr>
        <w:spacing w:val="0"/>
        <w:kern w:val="2"/>
        <w:sz w:val="20"/>
        <w:szCs w:val="20"/>
      </w:rPr>
      <w:t>Fidell</w:t>
    </w:r>
    <w:proofErr w:type="spellEnd"/>
    <w:r w:rsidRPr="006718A7">
      <w:rPr>
        <w:spacing w:val="0"/>
        <w:kern w:val="2"/>
        <w:sz w:val="20"/>
        <w:szCs w:val="20"/>
      </w:rPr>
      <w:t xml:space="preserve"> LLP</w:t>
    </w:r>
  </w:p>
  <w:p w:rsidR="006C573D" w:rsidRPr="00253948" w:rsidRDefault="006C573D" w:rsidP="006C573D">
    <w:pPr>
      <w:widowControl w:val="0"/>
      <w:autoSpaceDE w:val="0"/>
      <w:autoSpaceDN w:val="0"/>
      <w:adjustRightInd w:val="0"/>
      <w:ind w:left="1657" w:right="1633"/>
      <w:jc w:val="center"/>
      <w:rPr>
        <w:sz w:val="20"/>
        <w:szCs w:val="20"/>
      </w:rPr>
    </w:pPr>
  </w:p>
  <w:p w:rsidR="006C573D" w:rsidRPr="006C573D" w:rsidRDefault="006C573D" w:rsidP="006C573D">
    <w:pPr>
      <w:tabs>
        <w:tab w:val="left" w:pos="2340"/>
      </w:tabs>
      <w:jc w:val="center"/>
      <w:rPr>
        <w:sz w:val="20"/>
        <w:szCs w:val="20"/>
        <w:lang w:val="de-DE"/>
      </w:rPr>
    </w:pPr>
    <w:r w:rsidRPr="00253948">
      <w:rPr>
        <w:rStyle w:val="PageNumber"/>
        <w:sz w:val="20"/>
        <w:szCs w:val="20"/>
      </w:rPr>
      <w:fldChar w:fldCharType="begin"/>
    </w:r>
    <w:r w:rsidRPr="00253948">
      <w:rPr>
        <w:rStyle w:val="PageNumber"/>
        <w:sz w:val="20"/>
        <w:szCs w:val="20"/>
      </w:rPr>
      <w:instrText xml:space="preserve"> PAGE </w:instrText>
    </w:r>
    <w:r w:rsidRPr="00253948">
      <w:rPr>
        <w:rStyle w:val="PageNumber"/>
        <w:sz w:val="20"/>
        <w:szCs w:val="20"/>
      </w:rPr>
      <w:fldChar w:fldCharType="separate"/>
    </w:r>
    <w:r w:rsidR="001D6EB5">
      <w:rPr>
        <w:rStyle w:val="PageNumber"/>
        <w:noProof/>
        <w:sz w:val="20"/>
        <w:szCs w:val="20"/>
      </w:rPr>
      <w:t>1</w:t>
    </w:r>
    <w:r w:rsidRPr="0025394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3D" w:rsidRDefault="006C573D" w:rsidP="006C573D">
      <w:r>
        <w:separator/>
      </w:r>
    </w:p>
  </w:footnote>
  <w:footnote w:type="continuationSeparator" w:id="0">
    <w:p w:rsidR="006C573D" w:rsidRDefault="006C573D" w:rsidP="006C573D">
      <w:r>
        <w:continuationSeparator/>
      </w:r>
    </w:p>
  </w:footnote>
  <w:footnote w:id="1">
    <w:p w:rsidR="00E80717" w:rsidRDefault="00E80717" w:rsidP="006718A7">
      <w:pPr>
        <w:pStyle w:val="FootnoteText"/>
        <w:ind w:left="360" w:hanging="360"/>
      </w:pPr>
      <w:r>
        <w:rPr>
          <w:rStyle w:val="FootnoteReference"/>
        </w:rPr>
        <w:footnoteRef/>
      </w:r>
      <w:r>
        <w:t xml:space="preserve"> </w:t>
      </w:r>
      <w:r w:rsidR="006718A7">
        <w:tab/>
      </w:r>
      <w:r w:rsidRPr="006718A7">
        <w:rPr>
          <w:spacing w:val="0"/>
        </w:rPr>
        <w:t xml:space="preserve">The Authors of these materials include attorneys at the law firm of Feldesman Tucker Leifer </w:t>
      </w:r>
      <w:proofErr w:type="spellStart"/>
      <w:r w:rsidRPr="006718A7">
        <w:rPr>
          <w:spacing w:val="0"/>
        </w:rPr>
        <w:t>Fidell</w:t>
      </w:r>
      <w:proofErr w:type="spellEnd"/>
      <w:r w:rsidRPr="006718A7">
        <w:rPr>
          <w:spacing w:val="0"/>
        </w:rPr>
        <w:t xml:space="preserve"> LLP. The sample documents offer general guidance based</w:t>
      </w:r>
      <w:r w:rsidR="00253948" w:rsidRPr="006718A7">
        <w:rPr>
          <w:spacing w:val="0"/>
        </w:rPr>
        <w:t xml:space="preserve"> on federal law and regulations</w:t>
      </w:r>
      <w:r w:rsidRPr="006718A7">
        <w:rPr>
          <w:spacing w:val="0"/>
        </w:rPr>
        <w:t xml:space="preserve"> and do not necessarily apply to all PCAs</w:t>
      </w:r>
      <w:r w:rsidR="00085E24" w:rsidRPr="006718A7">
        <w:rPr>
          <w:spacing w:val="0"/>
        </w:rPr>
        <w:t>-HCCNs</w:t>
      </w:r>
      <w:r w:rsidRPr="006718A7">
        <w:rPr>
          <w:spacing w:val="0"/>
        </w:rPr>
        <w:t xml:space="preserve">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D" w:rsidRPr="00665CB8" w:rsidRDefault="006C573D" w:rsidP="006C573D">
    <w:pPr>
      <w:widowControl w:val="0"/>
      <w:autoSpaceDE w:val="0"/>
      <w:autoSpaceDN w:val="0"/>
      <w:adjustRightInd w:val="0"/>
      <w:spacing w:before="13"/>
      <w:ind w:left="-16" w:right="-36"/>
      <w:jc w:val="center"/>
      <w:rPr>
        <w:spacing w:val="0"/>
        <w:kern w:val="2"/>
        <w:sz w:val="20"/>
        <w:szCs w:val="20"/>
      </w:rPr>
    </w:pPr>
    <w:r w:rsidRPr="00665CB8">
      <w:rPr>
        <w:spacing w:val="0"/>
        <w:kern w:val="2"/>
        <w:sz w:val="20"/>
        <w:szCs w:val="20"/>
      </w:rPr>
      <w:t>Volume II:</w:t>
    </w:r>
    <w:r w:rsidR="006D793F" w:rsidRPr="00665CB8">
      <w:rPr>
        <w:spacing w:val="0"/>
        <w:kern w:val="2"/>
        <w:sz w:val="20"/>
        <w:szCs w:val="20"/>
      </w:rPr>
      <w:t xml:space="preserve"> Risk Areas for PCAs-HCCNs</w:t>
    </w:r>
  </w:p>
  <w:p w:rsidR="006C573D" w:rsidRPr="00665CB8" w:rsidRDefault="006C573D" w:rsidP="006C573D">
    <w:pPr>
      <w:widowControl w:val="0"/>
      <w:autoSpaceDE w:val="0"/>
      <w:autoSpaceDN w:val="0"/>
      <w:adjustRightInd w:val="0"/>
      <w:spacing w:line="209" w:lineRule="exact"/>
      <w:ind w:left="1619" w:right="1601"/>
      <w:jc w:val="center"/>
      <w:rPr>
        <w:spacing w:val="0"/>
        <w:kern w:val="2"/>
        <w:sz w:val="20"/>
        <w:szCs w:val="20"/>
      </w:rPr>
    </w:pPr>
    <w:r w:rsidRPr="00665CB8">
      <w:rPr>
        <w:spacing w:val="0"/>
        <w:kern w:val="2"/>
        <w:sz w:val="20"/>
        <w:szCs w:val="20"/>
      </w:rPr>
      <w:t>Product Development</w:t>
    </w:r>
  </w:p>
  <w:p w:rsidR="006C573D" w:rsidRPr="00665CB8" w:rsidRDefault="006C573D" w:rsidP="00665CB8">
    <w:pPr>
      <w:widowControl w:val="0"/>
      <w:pBdr>
        <w:bottom w:val="single" w:sz="12" w:space="1" w:color="auto"/>
      </w:pBdr>
      <w:autoSpaceDE w:val="0"/>
      <w:autoSpaceDN w:val="0"/>
      <w:adjustRightInd w:val="0"/>
      <w:spacing w:line="200" w:lineRule="exact"/>
      <w:rPr>
        <w:spacing w:val="0"/>
        <w:kern w:val="2"/>
        <w:sz w:val="20"/>
        <w:szCs w:val="20"/>
      </w:rPr>
    </w:pPr>
  </w:p>
  <w:p w:rsidR="006C573D" w:rsidRPr="001D6EB5" w:rsidRDefault="006C573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BAC"/>
    <w:multiLevelType w:val="hybridMultilevel"/>
    <w:tmpl w:val="F3EE7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0062E"/>
    <w:multiLevelType w:val="hybridMultilevel"/>
    <w:tmpl w:val="6FD6E0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24045"/>
    <w:multiLevelType w:val="hybridMultilevel"/>
    <w:tmpl w:val="D368F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41753"/>
    <w:multiLevelType w:val="hybridMultilevel"/>
    <w:tmpl w:val="E9FC28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526C7"/>
    <w:multiLevelType w:val="hybridMultilevel"/>
    <w:tmpl w:val="FF32CB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F6B2E"/>
    <w:multiLevelType w:val="hybridMultilevel"/>
    <w:tmpl w:val="3286C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15BD5"/>
    <w:multiLevelType w:val="hybridMultilevel"/>
    <w:tmpl w:val="86A61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C84C3C"/>
    <w:multiLevelType w:val="hybridMultilevel"/>
    <w:tmpl w:val="999C628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F3599"/>
    <w:multiLevelType w:val="hybridMultilevel"/>
    <w:tmpl w:val="EFDC7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6A"/>
    <w:rsid w:val="00005941"/>
    <w:rsid w:val="0000738F"/>
    <w:rsid w:val="00085E24"/>
    <w:rsid w:val="000B4285"/>
    <w:rsid w:val="00186080"/>
    <w:rsid w:val="001A4A12"/>
    <w:rsid w:val="001D6EB5"/>
    <w:rsid w:val="00207A5E"/>
    <w:rsid w:val="00235D7B"/>
    <w:rsid w:val="00253948"/>
    <w:rsid w:val="00277291"/>
    <w:rsid w:val="002965B9"/>
    <w:rsid w:val="002B21B2"/>
    <w:rsid w:val="00324D3D"/>
    <w:rsid w:val="0036018B"/>
    <w:rsid w:val="003D6F20"/>
    <w:rsid w:val="003E302B"/>
    <w:rsid w:val="003E4EBE"/>
    <w:rsid w:val="00402749"/>
    <w:rsid w:val="00405777"/>
    <w:rsid w:val="004157C8"/>
    <w:rsid w:val="00425550"/>
    <w:rsid w:val="0045508B"/>
    <w:rsid w:val="00555926"/>
    <w:rsid w:val="005C0006"/>
    <w:rsid w:val="005F1106"/>
    <w:rsid w:val="00665CB8"/>
    <w:rsid w:val="006718A7"/>
    <w:rsid w:val="006723F1"/>
    <w:rsid w:val="006B17FF"/>
    <w:rsid w:val="006C573D"/>
    <w:rsid w:val="006D793F"/>
    <w:rsid w:val="007625CD"/>
    <w:rsid w:val="007F6206"/>
    <w:rsid w:val="008554A0"/>
    <w:rsid w:val="0086784A"/>
    <w:rsid w:val="008A7438"/>
    <w:rsid w:val="00914D44"/>
    <w:rsid w:val="00920444"/>
    <w:rsid w:val="00947B7D"/>
    <w:rsid w:val="00947EDD"/>
    <w:rsid w:val="00957401"/>
    <w:rsid w:val="009C0C16"/>
    <w:rsid w:val="009E41DF"/>
    <w:rsid w:val="00AA04B4"/>
    <w:rsid w:val="00AA236A"/>
    <w:rsid w:val="00AC769E"/>
    <w:rsid w:val="00B66A91"/>
    <w:rsid w:val="00BD23E9"/>
    <w:rsid w:val="00D02674"/>
    <w:rsid w:val="00D503B5"/>
    <w:rsid w:val="00DA5DD4"/>
    <w:rsid w:val="00DB2F67"/>
    <w:rsid w:val="00E56C3D"/>
    <w:rsid w:val="00E80717"/>
    <w:rsid w:val="00E94D91"/>
    <w:rsid w:val="00EE1D0A"/>
    <w:rsid w:val="00EE2716"/>
    <w:rsid w:val="00EE62A9"/>
    <w:rsid w:val="00F177F5"/>
    <w:rsid w:val="00F44376"/>
    <w:rsid w:val="00F91DBA"/>
    <w:rsid w:val="00FB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6A"/>
    <w:pPr>
      <w:spacing w:after="0" w:line="240" w:lineRule="auto"/>
    </w:pPr>
    <w:rPr>
      <w:rFonts w:ascii="Times New Roman" w:eastAsia="Times New Roman" w:hAnsi="Times New Roman" w:cs="Times New Roman"/>
      <w:bCs/>
      <w:spacing w:val="-3"/>
      <w:sz w:val="24"/>
      <w:szCs w:val="24"/>
    </w:rPr>
  </w:style>
  <w:style w:type="paragraph" w:styleId="Heading3">
    <w:name w:val="heading 3"/>
    <w:basedOn w:val="Normal"/>
    <w:next w:val="Normal"/>
    <w:link w:val="Heading3Char"/>
    <w:qFormat/>
    <w:rsid w:val="00AA236A"/>
    <w:pPr>
      <w:keepNext/>
      <w:jc w:val="both"/>
      <w:outlineLvl w:val="2"/>
    </w:pPr>
    <w:rPr>
      <w:bCs w:val="0"/>
      <w:spacing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3Char">
    <w:name w:val="Heading 3 Char"/>
    <w:basedOn w:val="DefaultParagraphFont"/>
    <w:link w:val="Heading3"/>
    <w:rsid w:val="00AA236A"/>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86784A"/>
    <w:pPr>
      <w:ind w:left="720"/>
      <w:contextualSpacing/>
    </w:pPr>
  </w:style>
  <w:style w:type="paragraph" w:styleId="Header">
    <w:name w:val="header"/>
    <w:basedOn w:val="Normal"/>
    <w:link w:val="HeaderChar"/>
    <w:uiPriority w:val="99"/>
    <w:unhideWhenUsed/>
    <w:rsid w:val="006C573D"/>
    <w:pPr>
      <w:tabs>
        <w:tab w:val="center" w:pos="4680"/>
        <w:tab w:val="right" w:pos="9360"/>
      </w:tabs>
    </w:pPr>
  </w:style>
  <w:style w:type="character" w:customStyle="1" w:styleId="HeaderChar">
    <w:name w:val="Header Char"/>
    <w:basedOn w:val="DefaultParagraphFont"/>
    <w:link w:val="Header"/>
    <w:uiPriority w:val="99"/>
    <w:rsid w:val="006C573D"/>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6C573D"/>
    <w:pPr>
      <w:tabs>
        <w:tab w:val="center" w:pos="4680"/>
        <w:tab w:val="right" w:pos="9360"/>
      </w:tabs>
    </w:pPr>
  </w:style>
  <w:style w:type="character" w:customStyle="1" w:styleId="FooterChar">
    <w:name w:val="Footer Char"/>
    <w:basedOn w:val="DefaultParagraphFont"/>
    <w:link w:val="Footer"/>
    <w:uiPriority w:val="99"/>
    <w:rsid w:val="006C573D"/>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6C573D"/>
    <w:rPr>
      <w:rFonts w:ascii="Tahoma" w:hAnsi="Tahoma" w:cs="Tahoma"/>
      <w:sz w:val="16"/>
      <w:szCs w:val="16"/>
    </w:rPr>
  </w:style>
  <w:style w:type="character" w:customStyle="1" w:styleId="BalloonTextChar">
    <w:name w:val="Balloon Text Char"/>
    <w:basedOn w:val="DefaultParagraphFont"/>
    <w:link w:val="BalloonText"/>
    <w:uiPriority w:val="99"/>
    <w:semiHidden/>
    <w:rsid w:val="006C573D"/>
    <w:rPr>
      <w:rFonts w:ascii="Tahoma" w:eastAsia="Times New Roman" w:hAnsi="Tahoma" w:cs="Tahoma"/>
      <w:bCs/>
      <w:spacing w:val="-3"/>
      <w:sz w:val="16"/>
      <w:szCs w:val="16"/>
    </w:rPr>
  </w:style>
  <w:style w:type="character" w:styleId="PageNumber">
    <w:name w:val="page number"/>
    <w:basedOn w:val="DefaultParagraphFont"/>
    <w:rsid w:val="006C573D"/>
  </w:style>
  <w:style w:type="paragraph" w:styleId="FootnoteText">
    <w:name w:val="footnote text"/>
    <w:basedOn w:val="Normal"/>
    <w:link w:val="FootnoteTextChar"/>
    <w:uiPriority w:val="99"/>
    <w:semiHidden/>
    <w:unhideWhenUsed/>
    <w:rsid w:val="00E80717"/>
    <w:rPr>
      <w:sz w:val="20"/>
      <w:szCs w:val="20"/>
    </w:rPr>
  </w:style>
  <w:style w:type="character" w:customStyle="1" w:styleId="FootnoteTextChar">
    <w:name w:val="Footnote Text Char"/>
    <w:basedOn w:val="DefaultParagraphFont"/>
    <w:link w:val="FootnoteText"/>
    <w:uiPriority w:val="99"/>
    <w:semiHidden/>
    <w:rsid w:val="00E80717"/>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E80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6A"/>
    <w:pPr>
      <w:spacing w:after="0" w:line="240" w:lineRule="auto"/>
    </w:pPr>
    <w:rPr>
      <w:rFonts w:ascii="Times New Roman" w:eastAsia="Times New Roman" w:hAnsi="Times New Roman" w:cs="Times New Roman"/>
      <w:bCs/>
      <w:spacing w:val="-3"/>
      <w:sz w:val="24"/>
      <w:szCs w:val="24"/>
    </w:rPr>
  </w:style>
  <w:style w:type="paragraph" w:styleId="Heading3">
    <w:name w:val="heading 3"/>
    <w:basedOn w:val="Normal"/>
    <w:next w:val="Normal"/>
    <w:link w:val="Heading3Char"/>
    <w:qFormat/>
    <w:rsid w:val="00AA236A"/>
    <w:pPr>
      <w:keepNext/>
      <w:jc w:val="both"/>
      <w:outlineLvl w:val="2"/>
    </w:pPr>
    <w:rPr>
      <w:bCs w:val="0"/>
      <w:spacing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3Char">
    <w:name w:val="Heading 3 Char"/>
    <w:basedOn w:val="DefaultParagraphFont"/>
    <w:link w:val="Heading3"/>
    <w:rsid w:val="00AA236A"/>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86784A"/>
    <w:pPr>
      <w:ind w:left="720"/>
      <w:contextualSpacing/>
    </w:pPr>
  </w:style>
  <w:style w:type="paragraph" w:styleId="Header">
    <w:name w:val="header"/>
    <w:basedOn w:val="Normal"/>
    <w:link w:val="HeaderChar"/>
    <w:uiPriority w:val="99"/>
    <w:unhideWhenUsed/>
    <w:rsid w:val="006C573D"/>
    <w:pPr>
      <w:tabs>
        <w:tab w:val="center" w:pos="4680"/>
        <w:tab w:val="right" w:pos="9360"/>
      </w:tabs>
    </w:pPr>
  </w:style>
  <w:style w:type="character" w:customStyle="1" w:styleId="HeaderChar">
    <w:name w:val="Header Char"/>
    <w:basedOn w:val="DefaultParagraphFont"/>
    <w:link w:val="Header"/>
    <w:uiPriority w:val="99"/>
    <w:rsid w:val="006C573D"/>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6C573D"/>
    <w:pPr>
      <w:tabs>
        <w:tab w:val="center" w:pos="4680"/>
        <w:tab w:val="right" w:pos="9360"/>
      </w:tabs>
    </w:pPr>
  </w:style>
  <w:style w:type="character" w:customStyle="1" w:styleId="FooterChar">
    <w:name w:val="Footer Char"/>
    <w:basedOn w:val="DefaultParagraphFont"/>
    <w:link w:val="Footer"/>
    <w:uiPriority w:val="99"/>
    <w:rsid w:val="006C573D"/>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6C573D"/>
    <w:rPr>
      <w:rFonts w:ascii="Tahoma" w:hAnsi="Tahoma" w:cs="Tahoma"/>
      <w:sz w:val="16"/>
      <w:szCs w:val="16"/>
    </w:rPr>
  </w:style>
  <w:style w:type="character" w:customStyle="1" w:styleId="BalloonTextChar">
    <w:name w:val="Balloon Text Char"/>
    <w:basedOn w:val="DefaultParagraphFont"/>
    <w:link w:val="BalloonText"/>
    <w:uiPriority w:val="99"/>
    <w:semiHidden/>
    <w:rsid w:val="006C573D"/>
    <w:rPr>
      <w:rFonts w:ascii="Tahoma" w:eastAsia="Times New Roman" w:hAnsi="Tahoma" w:cs="Tahoma"/>
      <w:bCs/>
      <w:spacing w:val="-3"/>
      <w:sz w:val="16"/>
      <w:szCs w:val="16"/>
    </w:rPr>
  </w:style>
  <w:style w:type="character" w:styleId="PageNumber">
    <w:name w:val="page number"/>
    <w:basedOn w:val="DefaultParagraphFont"/>
    <w:rsid w:val="006C573D"/>
  </w:style>
  <w:style w:type="paragraph" w:styleId="FootnoteText">
    <w:name w:val="footnote text"/>
    <w:basedOn w:val="Normal"/>
    <w:link w:val="FootnoteTextChar"/>
    <w:uiPriority w:val="99"/>
    <w:semiHidden/>
    <w:unhideWhenUsed/>
    <w:rsid w:val="00E80717"/>
    <w:rPr>
      <w:sz w:val="20"/>
      <w:szCs w:val="20"/>
    </w:rPr>
  </w:style>
  <w:style w:type="character" w:customStyle="1" w:styleId="FootnoteTextChar">
    <w:name w:val="Footnote Text Char"/>
    <w:basedOn w:val="DefaultParagraphFont"/>
    <w:link w:val="FootnoteText"/>
    <w:uiPriority w:val="99"/>
    <w:semiHidden/>
    <w:rsid w:val="00E80717"/>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E80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BDC6-ACE0-49F1-B6E9-3B07C42A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4</cp:revision>
  <cp:lastPrinted>2015-11-13T14:21:00Z</cp:lastPrinted>
  <dcterms:created xsi:type="dcterms:W3CDTF">2015-11-13T14:12:00Z</dcterms:created>
  <dcterms:modified xsi:type="dcterms:W3CDTF">2015-11-13T14:40:00Z</dcterms:modified>
</cp:coreProperties>
</file>